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kern w:val="0"/>
          <w:sz w:val="32"/>
          <w:szCs w:val="32"/>
        </w:rPr>
      </w:pPr>
    </w:p>
    <w:p>
      <w:pPr>
        <w:jc w:val="center"/>
        <w:rPr>
          <w:rFonts w:ascii="华文中宋" w:hAnsi="华文中宋" w:eastAsia="华文中宋"/>
          <w:b/>
          <w:kern w:val="0"/>
          <w:sz w:val="52"/>
          <w:szCs w:val="52"/>
        </w:rPr>
      </w:pPr>
    </w:p>
    <w:p>
      <w:pPr>
        <w:jc w:val="center"/>
        <w:rPr>
          <w:rFonts w:ascii="华文中宋" w:hAnsi="华文中宋" w:eastAsia="华文中宋"/>
          <w:b/>
          <w:kern w:val="0"/>
          <w:sz w:val="52"/>
          <w:szCs w:val="52"/>
        </w:rPr>
      </w:pPr>
    </w:p>
    <w:p>
      <w:pPr>
        <w:jc w:val="center"/>
        <w:rPr>
          <w:rFonts w:ascii="华文中宋" w:hAnsi="华文中宋" w:eastAsia="华文中宋"/>
          <w:b/>
          <w:kern w:val="0"/>
          <w:sz w:val="52"/>
          <w:szCs w:val="52"/>
        </w:rPr>
      </w:pPr>
      <w:bookmarkStart w:id="0" w:name="_Hlk165037986"/>
      <w:r>
        <w:rPr>
          <w:rFonts w:hint="eastAsia" w:ascii="华文中宋" w:hAnsi="华文中宋" w:eastAsia="华文中宋"/>
          <w:b/>
          <w:kern w:val="0"/>
          <w:sz w:val="52"/>
          <w:szCs w:val="52"/>
        </w:rPr>
        <w:t>北京市公园管理中心</w:t>
      </w:r>
      <w:bookmarkEnd w:id="0"/>
      <w:r>
        <w:rPr>
          <w:rFonts w:hint="eastAsia" w:ascii="华文中宋" w:hAnsi="华文中宋" w:eastAsia="华文中宋"/>
          <w:b/>
          <w:kern w:val="0"/>
          <w:sz w:val="52"/>
          <w:szCs w:val="52"/>
        </w:rPr>
        <w:t>财务系统运维服务比选文件</w:t>
      </w:r>
    </w:p>
    <w:p>
      <w:pPr>
        <w:jc w:val="center"/>
        <w:rPr>
          <w:rFonts w:ascii="华文中宋" w:hAnsi="华文中宋" w:eastAsia="华文中宋"/>
          <w:b/>
          <w:kern w:val="0"/>
          <w:sz w:val="52"/>
          <w:szCs w:val="5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32"/>
          <w:szCs w:val="32"/>
        </w:rPr>
      </w:pPr>
    </w:p>
    <w:p>
      <w:pPr>
        <w:jc w:val="center"/>
        <w:rPr>
          <w:rFonts w:ascii="华文中宋" w:hAnsi="华文中宋" w:eastAsia="华文中宋"/>
          <w:b/>
          <w:kern w:val="0"/>
          <w:sz w:val="44"/>
          <w:szCs w:val="44"/>
        </w:rPr>
      </w:pPr>
      <w:r>
        <w:rPr>
          <w:rFonts w:hint="eastAsia" w:ascii="华文中宋" w:hAnsi="华文中宋" w:eastAsia="华文中宋"/>
          <w:b/>
          <w:kern w:val="0"/>
          <w:sz w:val="44"/>
          <w:szCs w:val="44"/>
        </w:rPr>
        <w:t>北京市公园管理中心</w:t>
      </w:r>
    </w:p>
    <w:p>
      <w:pPr>
        <w:jc w:val="center"/>
        <w:rPr>
          <w:rFonts w:ascii="华文中宋" w:hAnsi="华文中宋" w:eastAsia="华文中宋"/>
          <w:b/>
          <w:color w:val="000000" w:themeColor="text1"/>
          <w:kern w:val="0"/>
          <w:sz w:val="44"/>
          <w:szCs w:val="44"/>
          <w14:textFill>
            <w14:solidFill>
              <w14:schemeClr w14:val="tx1"/>
            </w14:solidFill>
          </w14:textFill>
        </w:rPr>
      </w:pPr>
      <w:r>
        <w:rPr>
          <w:rFonts w:hint="eastAsia" w:ascii="华文中宋" w:hAnsi="华文中宋" w:eastAsia="华文中宋"/>
          <w:b/>
          <w:color w:val="000000" w:themeColor="text1"/>
          <w:kern w:val="0"/>
          <w:sz w:val="44"/>
          <w:szCs w:val="44"/>
          <w14:textFill>
            <w14:solidFill>
              <w14:schemeClr w14:val="tx1"/>
            </w14:solidFill>
          </w14:textFill>
        </w:rPr>
        <w:t>2</w:t>
      </w:r>
      <w:r>
        <w:rPr>
          <w:rFonts w:ascii="华文中宋" w:hAnsi="华文中宋" w:eastAsia="华文中宋"/>
          <w:b/>
          <w:color w:val="000000" w:themeColor="text1"/>
          <w:kern w:val="0"/>
          <w:sz w:val="44"/>
          <w:szCs w:val="44"/>
          <w14:textFill>
            <w14:solidFill>
              <w14:schemeClr w14:val="tx1"/>
            </w14:solidFill>
          </w14:textFill>
        </w:rPr>
        <w:t>02</w:t>
      </w:r>
      <w:r>
        <w:rPr>
          <w:rFonts w:hint="eastAsia" w:ascii="华文中宋" w:hAnsi="华文中宋" w:eastAsia="华文中宋"/>
          <w:b/>
          <w:color w:val="000000" w:themeColor="text1"/>
          <w:kern w:val="0"/>
          <w:sz w:val="44"/>
          <w:szCs w:val="44"/>
          <w14:textFill>
            <w14:solidFill>
              <w14:schemeClr w14:val="tx1"/>
            </w14:solidFill>
          </w14:textFill>
        </w:rPr>
        <w:t>4年0</w:t>
      </w:r>
      <w:r>
        <w:rPr>
          <w:rFonts w:hint="eastAsia" w:ascii="华文中宋" w:hAnsi="华文中宋" w:eastAsia="华文中宋"/>
          <w:b/>
          <w:color w:val="000000" w:themeColor="text1"/>
          <w:kern w:val="0"/>
          <w:sz w:val="44"/>
          <w:szCs w:val="44"/>
          <w:lang w:val="en-US" w:eastAsia="zh-CN"/>
          <w14:textFill>
            <w14:solidFill>
              <w14:schemeClr w14:val="tx1"/>
            </w14:solidFill>
          </w14:textFill>
        </w:rPr>
        <w:t>5</w:t>
      </w:r>
      <w:r>
        <w:rPr>
          <w:rFonts w:hint="eastAsia" w:ascii="华文中宋" w:hAnsi="华文中宋" w:eastAsia="华文中宋"/>
          <w:b/>
          <w:color w:val="000000" w:themeColor="text1"/>
          <w:kern w:val="0"/>
          <w:sz w:val="44"/>
          <w:szCs w:val="44"/>
          <w14:textFill>
            <w14:solidFill>
              <w14:schemeClr w14:val="tx1"/>
            </w14:solidFill>
          </w14:textFill>
        </w:rPr>
        <w:t>月</w:t>
      </w:r>
    </w:p>
    <w:p>
      <w:pPr>
        <w:widowControl/>
        <w:jc w:val="left"/>
        <w:rPr>
          <w:rFonts w:ascii="华文中宋" w:hAnsi="华文中宋" w:eastAsia="华文中宋"/>
          <w:b/>
          <w:kern w:val="0"/>
          <w:sz w:val="32"/>
          <w:szCs w:val="32"/>
        </w:rPr>
      </w:pPr>
      <w:r>
        <w:rPr>
          <w:rFonts w:ascii="华文中宋" w:hAnsi="华文中宋" w:eastAsia="华文中宋"/>
          <w:b/>
          <w:kern w:val="0"/>
          <w:sz w:val="32"/>
          <w:szCs w:val="32"/>
        </w:rPr>
        <w:br w:type="page"/>
      </w:r>
    </w:p>
    <w:p>
      <w:pPr>
        <w:jc w:val="center"/>
        <w:rPr>
          <w:rFonts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pPr>
        <w:snapToGrid w:val="0"/>
        <w:spacing w:line="360" w:lineRule="auto"/>
        <w:rPr>
          <w:rFonts w:ascii="仿宋" w:hAnsi="仿宋" w:eastAsia="仿宋" w:cs="黑体"/>
          <w:b/>
          <w:color w:val="7030A0"/>
          <w:sz w:val="28"/>
          <w:szCs w:val="28"/>
          <w:u w:val="single"/>
        </w:rPr>
      </w:pPr>
    </w:p>
    <w:p>
      <w:pPr>
        <w:numPr>
          <w:ilvl w:val="0"/>
          <w:numId w:val="0"/>
        </w:numPr>
        <w:snapToGrid w:val="0"/>
        <w:spacing w:line="348" w:lineRule="auto"/>
        <w:ind w:firstLine="640" w:firstLineChars="200"/>
        <w:rPr>
          <w:rFonts w:ascii="仿宋" w:hAnsi="仿宋" w:eastAsia="仿宋" w:cs="黑体"/>
          <w:sz w:val="32"/>
          <w:szCs w:val="32"/>
        </w:rPr>
      </w:pPr>
      <w:r>
        <w:rPr>
          <w:rFonts w:hint="eastAsia" w:ascii="仿宋" w:hAnsi="仿宋" w:eastAsia="仿宋" w:cs="楷体_GB2312"/>
          <w:sz w:val="32"/>
          <w:szCs w:val="32"/>
          <w:lang w:val="zh-CN"/>
        </w:rPr>
        <w:t>北京市公园管理中心就“北京市公园管理中心财务系统运维服务</w:t>
      </w:r>
      <w:r>
        <w:rPr>
          <w:rFonts w:hint="eastAsia" w:ascii="仿宋" w:hAnsi="仿宋" w:eastAsia="仿宋"/>
          <w:sz w:val="32"/>
          <w:szCs w:val="32"/>
          <w:lang w:eastAsia="zh-CN"/>
        </w:rPr>
        <w:t>及内控模块升级</w:t>
      </w:r>
      <w:r>
        <w:rPr>
          <w:rFonts w:hint="eastAsia" w:ascii="仿宋" w:hAnsi="仿宋" w:eastAsia="仿宋" w:cs="楷体_GB2312"/>
          <w:sz w:val="32"/>
          <w:szCs w:val="32"/>
          <w:lang w:val="zh-CN"/>
        </w:rPr>
        <w:t>”项目</w:t>
      </w:r>
      <w:r>
        <w:rPr>
          <w:rFonts w:hint="eastAsia" w:ascii="仿宋" w:hAnsi="仿宋" w:eastAsia="仿宋"/>
          <w:sz w:val="32"/>
          <w:szCs w:val="32"/>
        </w:rPr>
        <w:t>，邀请国内有能力从事本项目服务的申请人按要求提交相关证明文件和材料，具体情况如下：</w:t>
      </w:r>
    </w:p>
    <w:p>
      <w:pPr>
        <w:numPr>
          <w:ilvl w:val="0"/>
          <w:numId w:val="2"/>
        </w:numPr>
        <w:snapToGrid w:val="0"/>
        <w:spacing w:line="348" w:lineRule="auto"/>
        <w:ind w:firstLine="643" w:firstLineChars="200"/>
        <w:rPr>
          <w:rFonts w:hint="eastAsia" w:ascii="仿宋" w:hAnsi="仿宋" w:eastAsia="仿宋"/>
          <w:b/>
          <w:bCs/>
          <w:sz w:val="32"/>
          <w:szCs w:val="32"/>
          <w:lang w:eastAsia="zh-CN"/>
        </w:rPr>
      </w:pPr>
      <w:r>
        <w:rPr>
          <w:rFonts w:ascii="仿宋" w:hAnsi="仿宋" w:eastAsia="仿宋"/>
          <w:b/>
          <w:bCs/>
          <w:sz w:val="32"/>
          <w:szCs w:val="32"/>
        </w:rPr>
        <w:t>项目名称：</w:t>
      </w:r>
      <w:r>
        <w:rPr>
          <w:rFonts w:hint="eastAsia" w:ascii="仿宋" w:hAnsi="仿宋" w:eastAsia="仿宋"/>
          <w:b/>
          <w:bCs/>
          <w:sz w:val="32"/>
          <w:szCs w:val="32"/>
        </w:rPr>
        <w:t>北京市公园管理中心财务系统运维服务</w:t>
      </w:r>
      <w:r>
        <w:rPr>
          <w:rFonts w:hint="eastAsia" w:ascii="仿宋" w:hAnsi="仿宋" w:eastAsia="仿宋"/>
          <w:b/>
          <w:bCs/>
          <w:sz w:val="32"/>
          <w:szCs w:val="32"/>
          <w:lang w:eastAsia="zh-CN"/>
        </w:rPr>
        <w:t>及内控模块升级</w:t>
      </w:r>
    </w:p>
    <w:p>
      <w:pPr>
        <w:numPr>
          <w:ilvl w:val="0"/>
          <w:numId w:val="2"/>
        </w:numPr>
        <w:snapToGrid w:val="0"/>
        <w:spacing w:line="348" w:lineRule="auto"/>
        <w:ind w:firstLine="643" w:firstLineChars="200"/>
        <w:rPr>
          <w:rFonts w:ascii="仿宋" w:hAnsi="仿宋" w:eastAsia="仿宋"/>
          <w:b/>
          <w:bCs/>
          <w:sz w:val="32"/>
          <w:szCs w:val="32"/>
        </w:rPr>
      </w:pPr>
      <w:r>
        <w:rPr>
          <w:rFonts w:hint="eastAsia" w:ascii="仿宋" w:hAnsi="仿宋" w:eastAsia="仿宋"/>
          <w:b/>
          <w:bCs/>
          <w:sz w:val="32"/>
          <w:szCs w:val="32"/>
        </w:rPr>
        <w:t>项目性质：服务</w:t>
      </w:r>
    </w:p>
    <w:p>
      <w:pPr>
        <w:numPr>
          <w:ilvl w:val="0"/>
          <w:numId w:val="2"/>
        </w:numPr>
        <w:snapToGrid w:val="0"/>
        <w:spacing w:line="348" w:lineRule="auto"/>
        <w:ind w:firstLine="643" w:firstLineChars="200"/>
        <w:rPr>
          <w:rFonts w:ascii="仿宋" w:hAnsi="仿宋" w:eastAsia="仿宋"/>
          <w:b/>
          <w:bCs/>
          <w:sz w:val="32"/>
          <w:szCs w:val="32"/>
        </w:rPr>
      </w:pPr>
      <w:r>
        <w:rPr>
          <w:rFonts w:hint="eastAsia" w:ascii="仿宋" w:hAnsi="仿宋" w:eastAsia="仿宋"/>
          <w:b/>
          <w:bCs/>
          <w:sz w:val="32"/>
          <w:szCs w:val="32"/>
          <w:lang w:eastAsia="zh-CN"/>
        </w:rPr>
        <w:t>项目预算：人民币</w:t>
      </w:r>
      <w:r>
        <w:rPr>
          <w:rFonts w:hint="eastAsia" w:ascii="仿宋" w:hAnsi="仿宋" w:eastAsia="仿宋"/>
          <w:b/>
          <w:bCs/>
          <w:sz w:val="32"/>
          <w:szCs w:val="32"/>
          <w:lang w:val="en-US" w:eastAsia="zh-CN"/>
        </w:rPr>
        <w:t>25万元</w:t>
      </w:r>
    </w:p>
    <w:p>
      <w:pPr>
        <w:numPr>
          <w:ilvl w:val="0"/>
          <w:numId w:val="2"/>
        </w:numPr>
        <w:snapToGrid w:val="0"/>
        <w:spacing w:line="348" w:lineRule="auto"/>
        <w:ind w:left="0" w:leftChars="0" w:firstLine="643" w:firstLineChars="200"/>
        <w:rPr>
          <w:rFonts w:ascii="仿宋" w:hAnsi="仿宋" w:eastAsia="仿宋"/>
          <w:b/>
          <w:bCs/>
          <w:sz w:val="28"/>
          <w:szCs w:val="28"/>
        </w:rPr>
      </w:pPr>
      <w:r>
        <w:rPr>
          <w:rFonts w:hint="eastAsia" w:ascii="仿宋" w:hAnsi="仿宋" w:eastAsia="仿宋"/>
          <w:b/>
          <w:bCs/>
          <w:sz w:val="32"/>
          <w:szCs w:val="32"/>
        </w:rPr>
        <w:t>服务内容：</w:t>
      </w:r>
    </w:p>
    <w:p>
      <w:pPr>
        <w:pStyle w:val="10"/>
        <w:pBdr>
          <w:bottom w:val="none" w:color="auto" w:sz="0" w:space="0"/>
        </w:pBdr>
        <w:spacing w:line="300" w:lineRule="auto"/>
        <w:rPr>
          <w:rFonts w:ascii="仿宋" w:hAnsi="仿宋" w:eastAsia="仿宋"/>
          <w:b/>
          <w:sz w:val="28"/>
          <w:szCs w:val="28"/>
        </w:rPr>
      </w:pPr>
      <w:bookmarkStart w:id="1" w:name="_Toc477081465"/>
      <w:bookmarkStart w:id="2" w:name="_Toc474930612"/>
      <w:bookmarkStart w:id="3" w:name="_Toc474930680"/>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bookmarkEnd w:id="1"/>
      <w:bookmarkEnd w:id="2"/>
      <w:bookmarkEnd w:id="3"/>
    </w:p>
    <w:tbl>
      <w:tblPr>
        <w:tblStyle w:val="13"/>
        <w:tblW w:w="4691"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59"/>
        <w:gridCol w:w="1765"/>
        <w:gridCol w:w="3827"/>
        <w:gridCol w:w="1003"/>
        <w:gridCol w:w="6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56" w:type="pct"/>
            <w:vAlign w:val="center"/>
          </w:tcPr>
          <w:p>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124" w:type="pct"/>
            <w:vAlign w:val="center"/>
          </w:tcPr>
          <w:p>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437" w:type="pct"/>
            <w:vAlign w:val="center"/>
          </w:tcPr>
          <w:p>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639" w:type="pct"/>
            <w:vAlign w:val="center"/>
          </w:tcPr>
          <w:p>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服务期限</w:t>
            </w:r>
          </w:p>
        </w:tc>
        <w:tc>
          <w:tcPr>
            <w:tcW w:w="444" w:type="pct"/>
            <w:vAlign w:val="center"/>
          </w:tcPr>
          <w:p>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7" w:hRule="atLeast"/>
          <w:tblHeader/>
          <w:jc w:val="center"/>
        </w:trPr>
        <w:tc>
          <w:tcPr>
            <w:tcW w:w="356" w:type="pct"/>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124" w:type="pct"/>
            <w:vAlign w:val="center"/>
          </w:tcPr>
          <w:p>
            <w:pPr>
              <w:autoSpaceDE w:val="0"/>
              <w:autoSpaceDN w:val="0"/>
              <w:adjustRightInd w:val="0"/>
              <w:snapToGrid w:val="0"/>
              <w:jc w:val="center"/>
              <w:rPr>
                <w:rFonts w:ascii="仿宋" w:hAnsi="仿宋" w:eastAsia="仿宋" w:cs="仿宋"/>
                <w:kern w:val="0"/>
                <w:sz w:val="24"/>
                <w:szCs w:val="24"/>
              </w:rPr>
            </w:pPr>
            <w:r>
              <w:rPr>
                <w:rFonts w:hint="eastAsia" w:ascii="黑体" w:hAnsi="黑体" w:eastAsia="黑体" w:cs="宋体"/>
                <w:color w:val="000000"/>
                <w:kern w:val="0"/>
                <w:sz w:val="24"/>
                <w:szCs w:val="24"/>
              </w:rPr>
              <w:t>用友GRP-U8行政事业财务管理软件-新会计制度专版（G版）年度运维服务</w:t>
            </w:r>
          </w:p>
        </w:tc>
        <w:tc>
          <w:tcPr>
            <w:tcW w:w="2437" w:type="pct"/>
            <w:vAlign w:val="center"/>
          </w:tcPr>
          <w:p>
            <w:pPr>
              <w:autoSpaceDE w:val="0"/>
              <w:autoSpaceDN w:val="0"/>
              <w:adjustRightInd w:val="0"/>
              <w:snapToGrid w:val="0"/>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提供软件运行维护服务，解决使用过程中发生的问题；保证财务系统全年稳定、高效运行，系统整体全年可用性不低于99%。</w:t>
            </w:r>
            <w:r>
              <w:rPr>
                <w:rFonts w:hint="eastAsia" w:ascii="仿宋_GB2312" w:hAnsi="仿宋_GB2312" w:eastAsia="仿宋_GB2312" w:cs="仿宋_GB2312"/>
                <w:color w:val="000000"/>
                <w:kern w:val="0"/>
                <w:sz w:val="24"/>
                <w:szCs w:val="24"/>
              </w:rPr>
              <w:t>对公园管理中心本级及下级单位提供上门、电话、远程服务</w:t>
            </w:r>
            <w:r>
              <w:rPr>
                <w:rFonts w:hint="eastAsia" w:ascii="仿宋_GB2312" w:hAnsi="仿宋_GB2312" w:eastAsia="仿宋_GB2312" w:cs="仿宋_GB2312"/>
                <w:color w:val="000000"/>
                <w:kern w:val="0"/>
                <w:sz w:val="24"/>
                <w:szCs w:val="24"/>
                <w:lang w:eastAsia="zh-CN"/>
              </w:rPr>
              <w:t>等</w:t>
            </w:r>
            <w:r>
              <w:rPr>
                <w:rFonts w:hint="eastAsia" w:ascii="仿宋_GB2312" w:hAnsi="仿宋_GB2312" w:eastAsia="仿宋_GB2312" w:cs="仿宋_GB2312"/>
                <w:color w:val="000000"/>
                <w:kern w:val="0"/>
                <w:sz w:val="24"/>
                <w:szCs w:val="24"/>
              </w:rPr>
              <w:t>及节假日应急服务。</w:t>
            </w:r>
          </w:p>
          <w:p>
            <w:pPr>
              <w:autoSpaceDE w:val="0"/>
              <w:autoSpaceDN w:val="0"/>
              <w:adjustRightInd w:val="0"/>
              <w:snapToGrid w:val="0"/>
              <w:jc w:val="center"/>
              <w:rPr>
                <w:rFonts w:hint="eastAsia" w:ascii="仿宋_GB2312" w:hAnsi="仿宋_GB2312" w:eastAsia="仿宋_GB2312" w:cs="仿宋_GB2312"/>
                <w:color w:val="000000"/>
                <w:kern w:val="0"/>
                <w:sz w:val="24"/>
                <w:szCs w:val="24"/>
                <w:lang w:val="zh-CN"/>
              </w:rPr>
            </w:pPr>
          </w:p>
        </w:tc>
        <w:tc>
          <w:tcPr>
            <w:tcW w:w="639" w:type="pct"/>
            <w:vAlign w:val="center"/>
          </w:tcPr>
          <w:p>
            <w:pPr>
              <w:autoSpaceDE w:val="0"/>
              <w:autoSpaceDN w:val="0"/>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1年</w:t>
            </w:r>
          </w:p>
        </w:tc>
        <w:tc>
          <w:tcPr>
            <w:tcW w:w="444" w:type="pct"/>
            <w:vAlign w:val="center"/>
          </w:tcPr>
          <w:p>
            <w:pPr>
              <w:autoSpaceDE w:val="0"/>
              <w:autoSpaceDN w:val="0"/>
              <w:adjustRightInd w:val="0"/>
              <w:snapToGrid w:val="0"/>
              <w:jc w:val="center"/>
              <w:rPr>
                <w:rFonts w:hint="eastAsia" w:ascii="仿宋" w:hAnsi="仿宋" w:eastAsia="仿宋" w:cs="仿宋"/>
                <w:kern w:val="0"/>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7" w:hRule="atLeast"/>
          <w:tblHeader/>
          <w:jc w:val="center"/>
        </w:trPr>
        <w:tc>
          <w:tcPr>
            <w:tcW w:w="356" w:type="pct"/>
            <w:vAlign w:val="center"/>
          </w:tcPr>
          <w:p>
            <w:pPr>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124" w:type="pct"/>
            <w:vAlign w:val="center"/>
          </w:tcPr>
          <w:p>
            <w:pPr>
              <w:autoSpaceDE w:val="0"/>
              <w:autoSpaceDN w:val="0"/>
              <w:adjustRightInd w:val="0"/>
              <w:snapToGrid w:val="0"/>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eastAsia="zh-CN"/>
              </w:rPr>
              <w:t>内控模块升级</w:t>
            </w:r>
          </w:p>
        </w:tc>
        <w:tc>
          <w:tcPr>
            <w:tcW w:w="2437" w:type="pct"/>
            <w:vAlign w:val="center"/>
          </w:tcPr>
          <w:p>
            <w:pPr>
              <w:autoSpaceDE w:val="0"/>
              <w:autoSpaceDN w:val="0"/>
              <w:adjustRightInd w:val="0"/>
              <w:snapToGrid w:val="0"/>
              <w:rPr>
                <w:rFonts w:hint="eastAsia" w:ascii="黑体" w:hAnsi="黑体" w:eastAsia="黑体" w:cs="宋体"/>
                <w:color w:val="000000"/>
                <w:kern w:val="0"/>
                <w:sz w:val="24"/>
                <w:szCs w:val="24"/>
              </w:rPr>
            </w:pPr>
            <w:r>
              <w:rPr>
                <w:rFonts w:hint="eastAsia" w:ascii="仿宋_GB2312" w:hAnsi="仿宋_GB2312" w:eastAsia="仿宋_GB2312" w:cs="仿宋_GB2312"/>
                <w:color w:val="000000"/>
                <w:kern w:val="0"/>
                <w:sz w:val="24"/>
                <w:szCs w:val="24"/>
              </w:rPr>
              <w:t>在已有</w:t>
            </w:r>
            <w:r>
              <w:rPr>
                <w:rFonts w:hint="eastAsia" w:ascii="仿宋_GB2312" w:hAnsi="仿宋_GB2312" w:eastAsia="仿宋_GB2312" w:cs="仿宋_GB2312"/>
                <w:color w:val="000000"/>
                <w:kern w:val="0"/>
                <w:sz w:val="24"/>
                <w:szCs w:val="24"/>
                <w:lang w:val="en-US" w:eastAsia="zh-CN"/>
              </w:rPr>
              <w:t>5家单位的</w:t>
            </w:r>
            <w:r>
              <w:rPr>
                <w:rFonts w:hint="eastAsia" w:ascii="仿宋_GB2312" w:hAnsi="仿宋_GB2312" w:eastAsia="仿宋_GB2312" w:cs="仿宋_GB2312"/>
                <w:color w:val="000000"/>
                <w:kern w:val="0"/>
                <w:sz w:val="24"/>
                <w:szCs w:val="24"/>
              </w:rPr>
              <w:t>内控系统基础上</w:t>
            </w:r>
            <w:r>
              <w:rPr>
                <w:rFonts w:hint="eastAsia" w:ascii="仿宋_GB2312" w:hAnsi="仿宋_GB2312" w:eastAsia="仿宋_GB2312" w:cs="仿宋_GB2312"/>
                <w:color w:val="000000"/>
                <w:kern w:val="0"/>
                <w:sz w:val="24"/>
                <w:szCs w:val="24"/>
                <w:lang w:val="en-US" w:eastAsia="zh-CN"/>
              </w:rPr>
              <w:t>增加5家单位。</w:t>
            </w:r>
            <w:r>
              <w:rPr>
                <w:rFonts w:hint="eastAsia" w:ascii="仿宋_GB2312" w:hAnsi="仿宋_GB2312" w:eastAsia="仿宋_GB2312" w:cs="仿宋_GB2312"/>
                <w:color w:val="000000"/>
                <w:kern w:val="0"/>
                <w:sz w:val="24"/>
                <w:szCs w:val="24"/>
              </w:rPr>
              <w:t>建立一个全面覆盖公园管理中心的财务全过程监督、业务流程相互衔接、财务信息全部共享、内部控制严密规范、统计分析及时可靠的财务服务平台。</w:t>
            </w:r>
          </w:p>
        </w:tc>
        <w:tc>
          <w:tcPr>
            <w:tcW w:w="639" w:type="pct"/>
            <w:vAlign w:val="center"/>
          </w:tcPr>
          <w:p>
            <w:pPr>
              <w:autoSpaceDE w:val="0"/>
              <w:autoSpaceDN w:val="0"/>
              <w:adjustRightInd w:val="0"/>
              <w:snapToGrid w:val="0"/>
              <w:jc w:val="center"/>
              <w:rPr>
                <w:rFonts w:ascii="仿宋" w:hAnsi="仿宋" w:eastAsia="仿宋" w:cs="仿宋"/>
                <w:kern w:val="0"/>
                <w:sz w:val="24"/>
                <w:szCs w:val="24"/>
              </w:rPr>
            </w:pPr>
            <w:r>
              <w:rPr>
                <w:rFonts w:hint="eastAsia" w:ascii="仿宋_GB2312" w:hAnsi="仿宋_GB2312" w:eastAsia="仿宋_GB2312" w:cs="仿宋_GB2312"/>
                <w:color w:val="000000"/>
                <w:kern w:val="0"/>
                <w:sz w:val="24"/>
                <w:szCs w:val="24"/>
                <w:lang w:val="en-US" w:eastAsia="zh-CN"/>
              </w:rPr>
              <w:t>1年</w:t>
            </w:r>
          </w:p>
        </w:tc>
        <w:tc>
          <w:tcPr>
            <w:tcW w:w="444" w:type="pct"/>
            <w:vAlign w:val="center"/>
          </w:tcPr>
          <w:p>
            <w:pPr>
              <w:autoSpaceDE w:val="0"/>
              <w:autoSpaceDN w:val="0"/>
              <w:adjustRightInd w:val="0"/>
              <w:snapToGrid w:val="0"/>
              <w:jc w:val="center"/>
              <w:rPr>
                <w:rFonts w:hint="eastAsia" w:ascii="仿宋" w:hAnsi="仿宋" w:eastAsia="仿宋" w:cs="仿宋"/>
                <w:kern w:val="0"/>
                <w:sz w:val="24"/>
                <w:szCs w:val="24"/>
                <w:lang w:eastAsia="zh-CN"/>
              </w:rPr>
            </w:pPr>
          </w:p>
        </w:tc>
      </w:tr>
    </w:tbl>
    <w:p>
      <w:pPr>
        <w:snapToGrid w:val="0"/>
        <w:spacing w:line="300" w:lineRule="auto"/>
        <w:rPr>
          <w:rFonts w:ascii="仿宋" w:hAnsi="仿宋" w:eastAsia="仿宋"/>
          <w:sz w:val="24"/>
        </w:rPr>
      </w:pPr>
    </w:p>
    <w:p>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lang w:val="en-US" w:eastAsia="zh-CN"/>
        </w:rPr>
        <w:t>5</w:t>
      </w:r>
      <w:r>
        <w:rPr>
          <w:rFonts w:ascii="仿宋" w:hAnsi="仿宋" w:eastAsia="仿宋"/>
          <w:b/>
          <w:bCs/>
          <w:sz w:val="32"/>
          <w:szCs w:val="32"/>
        </w:rPr>
        <w:t>.</w:t>
      </w:r>
      <w:r>
        <w:rPr>
          <w:rFonts w:hint="eastAsia" w:ascii="仿宋" w:hAnsi="仿宋" w:eastAsia="仿宋"/>
          <w:b/>
          <w:bCs/>
          <w:sz w:val="32"/>
          <w:szCs w:val="32"/>
        </w:rPr>
        <w:t>申请人资格条件</w:t>
      </w:r>
    </w:p>
    <w:p>
      <w:pPr>
        <w:snapToGrid w:val="0"/>
        <w:spacing w:line="348" w:lineRule="auto"/>
        <w:ind w:right="26" w:firstLine="840" w:firstLineChars="300"/>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满足《中华人民共和国政府采购法》第二十二条规定</w:t>
      </w:r>
    </w:p>
    <w:p>
      <w:pPr>
        <w:snapToGrid w:val="0"/>
        <w:spacing w:line="348" w:lineRule="auto"/>
        <w:ind w:right="26" w:firstLine="840" w:firstLineChars="300"/>
        <w:rPr>
          <w:rFonts w:hint="eastAsia" w:ascii="仿宋" w:hAnsi="仿宋" w:eastAsia="仿宋"/>
          <w:color w:val="auto"/>
          <w:sz w:val="28"/>
          <w:szCs w:val="28"/>
          <w:lang w:val="en-US" w:eastAsia="zh-CN"/>
        </w:rPr>
      </w:pP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sz w:val="28"/>
          <w:szCs w:val="28"/>
        </w:rPr>
        <w:t xml:space="preserve">2 </w:t>
      </w:r>
      <w:r>
        <w:rPr>
          <w:rFonts w:hint="eastAsia" w:ascii="仿宋" w:hAnsi="仿宋" w:eastAsia="仿宋"/>
          <w:color w:val="auto"/>
          <w:sz w:val="28"/>
          <w:szCs w:val="28"/>
        </w:rPr>
        <w:t>须提供用友</w:t>
      </w:r>
      <w:r>
        <w:rPr>
          <w:rFonts w:hint="eastAsia" w:ascii="仿宋" w:hAnsi="仿宋" w:eastAsia="仿宋"/>
          <w:color w:val="auto"/>
          <w:sz w:val="28"/>
          <w:szCs w:val="28"/>
          <w:lang w:eastAsia="zh-CN"/>
        </w:rPr>
        <w:t>代理授权</w:t>
      </w:r>
    </w:p>
    <w:p>
      <w:pPr>
        <w:snapToGrid w:val="0"/>
        <w:spacing w:line="348" w:lineRule="auto"/>
        <w:ind w:right="26" w:firstLine="840" w:firstLineChars="300"/>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sz w:val="28"/>
          <w:szCs w:val="28"/>
        </w:rPr>
        <w:t>3 本项目不接受联合体。</w:t>
      </w:r>
    </w:p>
    <w:p>
      <w:pPr>
        <w:snapToGrid w:val="0"/>
        <w:spacing w:line="348" w:lineRule="auto"/>
        <w:ind w:right="26" w:firstLine="643" w:firstLineChars="200"/>
        <w:rPr>
          <w:rFonts w:hint="eastAsia" w:ascii="仿宋" w:hAnsi="仿宋" w:eastAsia="仿宋"/>
          <w:b/>
          <w:bCs/>
          <w:sz w:val="28"/>
          <w:szCs w:val="28"/>
        </w:rPr>
      </w:pPr>
      <w:r>
        <w:rPr>
          <w:rFonts w:hint="eastAsia" w:ascii="仿宋" w:hAnsi="仿宋" w:eastAsia="仿宋"/>
          <w:b/>
          <w:bCs/>
          <w:sz w:val="32"/>
          <w:szCs w:val="32"/>
          <w:lang w:val="en-US" w:eastAsia="zh-CN"/>
        </w:rPr>
        <w:t>6</w:t>
      </w:r>
      <w:r>
        <w:rPr>
          <w:rFonts w:hint="eastAsia" w:ascii="仿宋" w:hAnsi="仿宋" w:eastAsia="仿宋"/>
          <w:b/>
          <w:bCs/>
          <w:sz w:val="32"/>
          <w:szCs w:val="32"/>
        </w:rPr>
        <w:t>.申请文件的递交</w:t>
      </w:r>
    </w:p>
    <w:p>
      <w:pPr>
        <w:snapToGrid w:val="0"/>
        <w:spacing w:line="348" w:lineRule="auto"/>
        <w:ind w:right="26" w:firstLine="840" w:firstLineChars="300"/>
        <w:rPr>
          <w:rFonts w:ascii="仿宋" w:hAnsi="仿宋" w:eastAsia="仿宋" w:cs="Times New Roman"/>
          <w:sz w:val="28"/>
          <w:szCs w:val="28"/>
        </w:rPr>
      </w:pPr>
      <w:r>
        <w:rPr>
          <w:rFonts w:hint="eastAsia" w:ascii="仿宋" w:hAnsi="仿宋" w:eastAsia="仿宋" w:cs="Times New Roman"/>
          <w:sz w:val="28"/>
          <w:szCs w:val="28"/>
          <w:lang w:val="en-US" w:eastAsia="zh-CN"/>
        </w:rPr>
        <w:t>6.1</w:t>
      </w:r>
      <w:r>
        <w:rPr>
          <w:rFonts w:hint="eastAsia" w:ascii="仿宋" w:hAnsi="仿宋" w:eastAsia="仿宋" w:cs="Times New Roman"/>
          <w:sz w:val="28"/>
          <w:szCs w:val="28"/>
        </w:rPr>
        <w:t>申请人的申请文件及相关资料应准备</w:t>
      </w:r>
      <w:r>
        <w:rPr>
          <w:rFonts w:hint="eastAsia" w:ascii="仿宋" w:hAnsi="仿宋" w:eastAsia="仿宋" w:cs="Times New Roman"/>
          <w:color w:val="auto"/>
          <w:sz w:val="28"/>
          <w:szCs w:val="28"/>
        </w:rPr>
        <w:t>一式</w:t>
      </w:r>
      <w:r>
        <w:rPr>
          <w:rFonts w:hint="eastAsia" w:ascii="仿宋" w:hAnsi="仿宋" w:eastAsia="仿宋" w:cs="Times New Roman"/>
          <w:color w:val="auto"/>
          <w:sz w:val="28"/>
          <w:szCs w:val="28"/>
          <w:lang w:eastAsia="zh-CN"/>
        </w:rPr>
        <w:t>三</w:t>
      </w:r>
      <w:r>
        <w:rPr>
          <w:rFonts w:hint="eastAsia" w:ascii="仿宋" w:hAnsi="仿宋" w:eastAsia="仿宋" w:cs="Times New Roman"/>
          <w:color w:val="auto"/>
          <w:sz w:val="28"/>
          <w:szCs w:val="28"/>
        </w:rPr>
        <w:t>份（正本一份，副本</w:t>
      </w:r>
      <w:r>
        <w:rPr>
          <w:rFonts w:hint="eastAsia" w:ascii="仿宋" w:hAnsi="仿宋" w:eastAsia="仿宋" w:cs="Times New Roman"/>
          <w:color w:val="auto"/>
          <w:sz w:val="28"/>
          <w:szCs w:val="28"/>
          <w:lang w:eastAsia="zh-CN"/>
        </w:rPr>
        <w:t>贰</w:t>
      </w:r>
      <w:r>
        <w:rPr>
          <w:rFonts w:hint="eastAsia" w:ascii="仿宋" w:hAnsi="仿宋" w:eastAsia="仿宋" w:cs="Times New Roman"/>
          <w:color w:val="auto"/>
          <w:sz w:val="28"/>
          <w:szCs w:val="28"/>
        </w:rPr>
        <w:t>份），</w:t>
      </w:r>
      <w:r>
        <w:rPr>
          <w:rFonts w:hint="eastAsia" w:ascii="仿宋" w:hAnsi="仿宋" w:eastAsia="仿宋" w:cs="Times New Roman"/>
          <w:sz w:val="28"/>
          <w:szCs w:val="28"/>
        </w:rPr>
        <w:t>正副本均须正式签署，如有不一致之处，以正本为准。</w:t>
      </w:r>
    </w:p>
    <w:p>
      <w:pPr>
        <w:snapToGrid w:val="0"/>
        <w:spacing w:line="348" w:lineRule="auto"/>
        <w:ind w:right="26" w:firstLine="840" w:firstLineChars="300"/>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6.2</w:t>
      </w:r>
      <w:r>
        <w:rPr>
          <w:rFonts w:hint="eastAsia" w:ascii="仿宋" w:hAnsi="仿宋" w:eastAsia="仿宋" w:cs="Times New Roman"/>
          <w:color w:val="auto"/>
          <w:sz w:val="28"/>
          <w:szCs w:val="28"/>
        </w:rPr>
        <w:t>所有申请文件及相关资料应在2024年</w:t>
      </w:r>
      <w:r>
        <w:rPr>
          <w:rFonts w:hint="eastAsia" w:ascii="仿宋" w:hAnsi="仿宋" w:eastAsia="仿宋" w:cs="Times New Roman"/>
          <w:color w:val="auto"/>
          <w:sz w:val="28"/>
          <w:szCs w:val="28"/>
          <w:lang w:val="en-US" w:eastAsia="zh-CN"/>
        </w:rPr>
        <w:t>6</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lang w:val="en-US" w:eastAsia="zh-CN"/>
        </w:rPr>
        <w:t>7</w:t>
      </w:r>
      <w:r>
        <w:rPr>
          <w:rFonts w:hint="eastAsia" w:ascii="仿宋" w:hAnsi="仿宋" w:eastAsia="仿宋" w:cs="Times New Roman"/>
          <w:color w:val="auto"/>
          <w:sz w:val="28"/>
          <w:szCs w:val="28"/>
        </w:rPr>
        <w:t>日</w:t>
      </w:r>
      <w:r>
        <w:rPr>
          <w:rFonts w:hint="eastAsia" w:ascii="仿宋" w:hAnsi="仿宋" w:eastAsia="仿宋" w:cs="Times New Roman"/>
          <w:color w:val="auto"/>
          <w:sz w:val="28"/>
          <w:szCs w:val="28"/>
          <w:lang w:val="en-US" w:eastAsia="zh-CN"/>
        </w:rPr>
        <w:t>12</w:t>
      </w:r>
      <w:r>
        <w:rPr>
          <w:rFonts w:hint="eastAsia" w:ascii="仿宋" w:hAnsi="仿宋" w:eastAsia="仿宋" w:cs="Times New Roman"/>
          <w:color w:val="auto"/>
          <w:sz w:val="28"/>
          <w:szCs w:val="28"/>
        </w:rPr>
        <w:t>时</w:t>
      </w:r>
      <w:r>
        <w:rPr>
          <w:rFonts w:hint="eastAsia" w:ascii="仿宋" w:hAnsi="仿宋" w:eastAsia="仿宋" w:cs="Times New Roman"/>
          <w:color w:val="auto"/>
          <w:sz w:val="28"/>
          <w:szCs w:val="28"/>
          <w:lang w:val="en-US" w:eastAsia="zh-CN"/>
        </w:rPr>
        <w:t>00</w:t>
      </w:r>
      <w:r>
        <w:rPr>
          <w:rFonts w:hint="eastAsia" w:ascii="仿宋" w:hAnsi="仿宋" w:eastAsia="仿宋" w:cs="Times New Roman"/>
          <w:color w:val="auto"/>
          <w:sz w:val="28"/>
          <w:szCs w:val="28"/>
        </w:rPr>
        <w:t>分前密封递交至</w:t>
      </w:r>
      <w:r>
        <w:rPr>
          <w:rFonts w:hint="eastAsia" w:ascii="仿宋" w:hAnsi="仿宋" w:eastAsia="仿宋" w:cs="Times New Roman"/>
          <w:color w:val="auto"/>
          <w:sz w:val="28"/>
          <w:szCs w:val="28"/>
          <w:lang w:val="zh-CN"/>
        </w:rPr>
        <w:t>北京市公园管理中心</w:t>
      </w:r>
      <w:r>
        <w:rPr>
          <w:rFonts w:hint="eastAsia" w:ascii="仿宋" w:hAnsi="仿宋" w:eastAsia="仿宋" w:cs="Times New Roman"/>
          <w:color w:val="auto"/>
          <w:sz w:val="28"/>
          <w:szCs w:val="28"/>
        </w:rPr>
        <w:t>。逾期送达或未送达指定地点的，不予受理。</w:t>
      </w:r>
    </w:p>
    <w:p>
      <w:pPr>
        <w:snapToGrid w:val="0"/>
        <w:spacing w:line="348" w:lineRule="auto"/>
        <w:ind w:right="26"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7.申请文件的组成</w:t>
      </w:r>
    </w:p>
    <w:p>
      <w:pPr>
        <w:snapToGrid w:val="0"/>
        <w:spacing w:line="348" w:lineRule="auto"/>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en-US" w:eastAsia="zh-CN"/>
        </w:rPr>
        <w:t>7</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.1.1申请书</w:t>
      </w:r>
    </w:p>
    <w:p>
      <w:pPr>
        <w:pStyle w:val="5"/>
        <w:snapToGrid w:val="0"/>
        <w:spacing w:line="348" w:lineRule="auto"/>
        <w:ind w:firstLine="722" w:firstLineChars="301"/>
        <w:rPr>
          <w:rFonts w:ascii="仿宋" w:hAnsi="仿宋" w:eastAsia="仿宋"/>
          <w:szCs w:val="24"/>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.1.2</w:t>
      </w:r>
      <w:r>
        <w:rPr>
          <w:rFonts w:hint="eastAsia" w:ascii="仿宋" w:hAnsi="仿宋" w:eastAsia="仿宋"/>
          <w:szCs w:val="24"/>
        </w:rPr>
        <w:t>法定代表人授权委托书</w:t>
      </w:r>
    </w:p>
    <w:p>
      <w:pPr>
        <w:pStyle w:val="5"/>
        <w:snapToGrid w:val="0"/>
        <w:spacing w:line="348" w:lineRule="auto"/>
        <w:ind w:firstLine="722" w:firstLineChars="301"/>
        <w:rPr>
          <w:rFonts w:ascii="仿宋" w:hAnsi="仿宋" w:eastAsia="仿宋" w:cs="楷体_GB2312"/>
          <w:color w:val="auto"/>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.1.3</w:t>
      </w:r>
      <w:r>
        <w:rPr>
          <w:rFonts w:hint="eastAsia" w:ascii="仿宋" w:hAnsi="仿宋" w:eastAsia="仿宋"/>
          <w:color w:val="auto"/>
          <w:sz w:val="24"/>
          <w:szCs w:val="24"/>
          <w:lang w:eastAsia="zh-CN"/>
        </w:rPr>
        <w:t>用友代理授权</w:t>
      </w:r>
    </w:p>
    <w:p>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.1.4申请人</w:t>
      </w:r>
      <w:bookmarkStart w:id="4" w:name="_Hlk165040622"/>
      <w:r>
        <w:rPr>
          <w:rFonts w:hint="eastAsia" w:ascii="仿宋" w:hAnsi="仿宋" w:eastAsia="仿宋" w:cs="楷体_GB2312"/>
          <w:szCs w:val="22"/>
          <w:lang w:val="zh-CN"/>
        </w:rPr>
        <w:t>单位简介</w:t>
      </w:r>
      <w:bookmarkEnd w:id="4"/>
    </w:p>
    <w:p>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.1.5申请人单位简况表</w:t>
      </w:r>
    </w:p>
    <w:p>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.1.6</w:t>
      </w:r>
      <w:r>
        <w:rPr>
          <w:rFonts w:ascii="仿宋" w:hAnsi="仿宋" w:eastAsia="仿宋" w:cs="楷体_GB2312"/>
          <w:szCs w:val="22"/>
          <w:lang w:val="zh-CN"/>
        </w:rPr>
        <w:t>营业执照等证明文件</w:t>
      </w:r>
      <w:r>
        <w:rPr>
          <w:rFonts w:hint="eastAsia" w:ascii="仿宋" w:hAnsi="仿宋" w:eastAsia="仿宋" w:cs="楷体_GB2312"/>
          <w:szCs w:val="22"/>
          <w:lang w:val="zh-CN"/>
        </w:rPr>
        <w:t>（复印件加盖公章）</w:t>
      </w:r>
    </w:p>
    <w:p>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.1.7申请人资格声明书</w:t>
      </w:r>
    </w:p>
    <w:p>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.1.8申请人</w:t>
      </w:r>
      <w:r>
        <w:rPr>
          <w:rFonts w:ascii="仿宋" w:hAnsi="仿宋" w:eastAsia="仿宋" w:cs="楷体_GB2312"/>
          <w:szCs w:val="22"/>
          <w:lang w:val="zh-CN"/>
        </w:rPr>
        <w:t xml:space="preserve">信用记录 </w:t>
      </w:r>
    </w:p>
    <w:p>
      <w:pPr>
        <w:pStyle w:val="5"/>
        <w:snapToGrid w:val="0"/>
        <w:spacing w:line="348" w:lineRule="auto"/>
        <w:ind w:firstLine="722" w:firstLineChars="301"/>
        <w:rPr>
          <w:rFonts w:ascii="仿宋" w:hAnsi="仿宋" w:eastAsia="仿宋" w:cs="楷体_GB2312"/>
          <w:sz w:val="24"/>
          <w:lang w:val="zh-CN"/>
        </w:rPr>
      </w:pPr>
      <w:r>
        <w:rPr>
          <w:rFonts w:hint="eastAsia" w:ascii="仿宋" w:hAnsi="仿宋" w:eastAsia="仿宋" w:cs="楷体_GB2312"/>
          <w:szCs w:val="22"/>
          <w:lang w:val="en-US" w:eastAsia="zh-CN"/>
        </w:rPr>
        <w:t>7</w:t>
      </w:r>
      <w:r>
        <w:rPr>
          <w:rFonts w:hint="eastAsia" w:ascii="仿宋" w:hAnsi="仿宋" w:eastAsia="仿宋" w:cs="楷体_GB2312"/>
          <w:szCs w:val="22"/>
          <w:lang w:val="zh-CN"/>
        </w:rPr>
        <w:t>.1.9</w:t>
      </w:r>
      <w:r>
        <w:rPr>
          <w:rFonts w:hint="eastAsia" w:ascii="仿宋" w:hAnsi="仿宋" w:eastAsia="仿宋" w:cs="楷体_GB2312"/>
          <w:sz w:val="24"/>
          <w:lang w:val="zh-CN"/>
        </w:rPr>
        <w:t>申请人认为必要的其他文件（如有）</w:t>
      </w:r>
    </w:p>
    <w:p>
      <w:pPr>
        <w:adjustRightInd w:val="0"/>
        <w:snapToGrid w:val="0"/>
        <w:spacing w:line="348" w:lineRule="auto"/>
        <w:ind w:firstLine="720" w:firstLineChars="300"/>
        <w:jc w:val="left"/>
        <w:outlineLvl w:val="0"/>
        <w:rPr>
          <w:rFonts w:ascii="仿宋" w:hAnsi="仿宋" w:eastAsia="仿宋" w:cs="楷体_GB2312"/>
          <w:sz w:val="24"/>
          <w:lang w:val="zh-CN"/>
        </w:rPr>
      </w:pPr>
      <w:r>
        <w:rPr>
          <w:rFonts w:hint="eastAsia" w:ascii="仿宋" w:hAnsi="仿宋" w:eastAsia="仿宋" w:cs="楷体_GB2312"/>
          <w:sz w:val="24"/>
          <w:lang w:val="en-US" w:eastAsia="zh-CN"/>
        </w:rPr>
        <w:t>7</w:t>
      </w:r>
      <w:r>
        <w:rPr>
          <w:rFonts w:hint="eastAsia" w:ascii="仿宋" w:hAnsi="仿宋" w:eastAsia="仿宋" w:cs="楷体_GB2312"/>
          <w:sz w:val="24"/>
          <w:lang w:val="zh-CN"/>
        </w:rPr>
        <w:t>.1.10报价一览表</w:t>
      </w:r>
    </w:p>
    <w:p>
      <w:pPr>
        <w:adjustRightInd w:val="0"/>
        <w:snapToGrid w:val="0"/>
        <w:spacing w:line="348" w:lineRule="auto"/>
        <w:ind w:firstLine="720" w:firstLineChars="300"/>
        <w:jc w:val="left"/>
        <w:outlineLvl w:val="0"/>
        <w:rPr>
          <w:rFonts w:ascii="仿宋" w:hAnsi="仿宋" w:eastAsia="仿宋" w:cs="楷体_GB2312"/>
          <w:sz w:val="24"/>
          <w:lang w:val="zh-CN"/>
        </w:rPr>
      </w:pPr>
      <w:r>
        <w:rPr>
          <w:rFonts w:hint="eastAsia" w:ascii="仿宋" w:hAnsi="仿宋" w:eastAsia="仿宋" w:cs="楷体_GB2312"/>
          <w:sz w:val="24"/>
          <w:lang w:val="en-US" w:eastAsia="zh-CN"/>
        </w:rPr>
        <w:t>7</w:t>
      </w:r>
      <w:r>
        <w:rPr>
          <w:rFonts w:hint="eastAsia" w:ascii="仿宋" w:hAnsi="仿宋" w:eastAsia="仿宋" w:cs="楷体_GB2312"/>
          <w:sz w:val="24"/>
          <w:lang w:val="zh-CN"/>
        </w:rPr>
        <w:t>.1.1</w:t>
      </w:r>
      <w:r>
        <w:rPr>
          <w:rFonts w:hint="eastAsia" w:ascii="仿宋" w:hAnsi="仿宋" w:eastAsia="仿宋" w:cs="楷体_GB2312"/>
          <w:sz w:val="24"/>
          <w:lang w:val="en-US" w:eastAsia="zh-CN"/>
        </w:rPr>
        <w:t>1</w:t>
      </w:r>
      <w:r>
        <w:rPr>
          <w:rFonts w:hint="eastAsia" w:ascii="仿宋" w:hAnsi="仿宋" w:eastAsia="仿宋" w:cs="楷体_GB2312"/>
          <w:sz w:val="24"/>
          <w:lang w:val="zh-CN"/>
        </w:rPr>
        <w:t>分项报价表</w:t>
      </w:r>
    </w:p>
    <w:p>
      <w:pPr>
        <w:snapToGrid w:val="0"/>
        <w:spacing w:line="348" w:lineRule="auto"/>
        <w:ind w:firstLine="560" w:firstLineChars="200"/>
        <w:jc w:val="left"/>
        <w:outlineLvl w:val="0"/>
        <w:rPr>
          <w:rFonts w:ascii="仿宋" w:hAnsi="仿宋" w:eastAsia="仿宋" w:cs="楷体_GB2312"/>
          <w:sz w:val="28"/>
          <w:szCs w:val="28"/>
          <w:lang w:val="zh-CN"/>
        </w:rPr>
      </w:pPr>
      <w:r>
        <w:rPr>
          <w:rFonts w:hint="eastAsia" w:ascii="仿宋" w:hAnsi="仿宋" w:eastAsia="仿宋" w:cs="楷体_GB2312"/>
          <w:sz w:val="28"/>
          <w:szCs w:val="28"/>
          <w:lang w:val="en-US" w:eastAsia="zh-CN"/>
        </w:rPr>
        <w:t>7</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pPr>
        <w:snapToGrid w:val="0"/>
        <w:spacing w:line="348" w:lineRule="auto"/>
        <w:ind w:right="26"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8.选择方式：采用在公园管理中心官网上公开发公告的方式，邀请申请人参加本次比选。</w:t>
      </w:r>
    </w:p>
    <w:p>
      <w:pPr>
        <w:snapToGrid w:val="0"/>
        <w:spacing w:line="348" w:lineRule="auto"/>
        <w:ind w:right="26"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9.申请人选定：</w:t>
      </w:r>
      <w:r>
        <w:rPr>
          <w:rFonts w:hint="eastAsia" w:ascii="仿宋" w:hAnsi="仿宋" w:eastAsia="仿宋"/>
          <w:b/>
          <w:bCs/>
          <w:sz w:val="32"/>
          <w:szCs w:val="32"/>
          <w:lang w:val="zh-CN" w:eastAsia="zh-CN"/>
        </w:rPr>
        <w:t>根据质量和服务均能满足比选文件实质性响应要求且报价最低的原则确定申请人。申请人并列的，由评审小组按照少数服从多数的原则投票确定成交候选申请人顺序。</w:t>
      </w:r>
    </w:p>
    <w:p>
      <w:pPr>
        <w:snapToGrid w:val="0"/>
        <w:spacing w:line="348" w:lineRule="auto"/>
        <w:ind w:right="26"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10.申请人应承担所有与准备和参加本项目有关的费用，无论选定结果如何，此费用不予以补偿。</w:t>
      </w:r>
    </w:p>
    <w:p>
      <w:pPr>
        <w:snapToGrid w:val="0"/>
        <w:spacing w:line="348" w:lineRule="auto"/>
        <w:ind w:right="26"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11.凡对本次比选项目提出询问，请按下列内容与北京市公园管理中心联系：</w:t>
      </w:r>
    </w:p>
    <w:p>
      <w:pPr>
        <w:snapToGrid w:val="0"/>
        <w:spacing w:line="348" w:lineRule="auto"/>
        <w:ind w:right="26" w:firstLine="643" w:firstLineChars="200"/>
        <w:rPr>
          <w:rFonts w:hint="eastAsia" w:ascii="仿宋" w:hAnsi="仿宋" w:eastAsia="仿宋"/>
          <w:b/>
          <w:bCs/>
          <w:sz w:val="32"/>
          <w:szCs w:val="32"/>
          <w:lang w:val="zh-CN" w:eastAsia="zh-CN"/>
        </w:rPr>
      </w:pPr>
      <w:r>
        <w:rPr>
          <w:rFonts w:hint="eastAsia" w:ascii="仿宋" w:hAnsi="仿宋" w:eastAsia="仿宋"/>
          <w:b/>
          <w:bCs/>
          <w:sz w:val="32"/>
          <w:szCs w:val="32"/>
          <w:lang w:val="zh-CN" w:eastAsia="zh-CN"/>
        </w:rPr>
        <w:t>邀 请 人：北京市公园管理中心</w:t>
      </w:r>
    </w:p>
    <w:p>
      <w:pPr>
        <w:snapToGrid w:val="0"/>
        <w:spacing w:line="348" w:lineRule="auto"/>
        <w:ind w:right="26" w:firstLine="643" w:firstLineChars="200"/>
        <w:rPr>
          <w:rFonts w:hint="eastAsia" w:ascii="仿宋" w:hAnsi="仿宋" w:eastAsia="仿宋"/>
          <w:b/>
          <w:bCs/>
          <w:sz w:val="32"/>
          <w:szCs w:val="32"/>
          <w:lang w:val="zh-CN" w:eastAsia="zh-CN"/>
        </w:rPr>
      </w:pPr>
      <w:r>
        <w:rPr>
          <w:rFonts w:hint="eastAsia" w:ascii="仿宋" w:hAnsi="仿宋" w:eastAsia="仿宋"/>
          <w:b/>
          <w:bCs/>
          <w:sz w:val="32"/>
          <w:szCs w:val="32"/>
          <w:lang w:val="zh-CN" w:eastAsia="zh-CN"/>
        </w:rPr>
        <w:t>地    址：北京市海淀区北下关街道五塔寺路北京市公园管理中心</w:t>
      </w:r>
    </w:p>
    <w:p>
      <w:pPr>
        <w:snapToGrid w:val="0"/>
        <w:spacing w:line="348" w:lineRule="auto"/>
        <w:ind w:right="26"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zh-CN" w:eastAsia="zh-CN"/>
        </w:rPr>
        <w:t>电    话：（010）</w:t>
      </w:r>
      <w:r>
        <w:rPr>
          <w:rFonts w:hint="eastAsia" w:ascii="仿宋" w:hAnsi="仿宋" w:eastAsia="仿宋"/>
          <w:b/>
          <w:bCs/>
          <w:sz w:val="32"/>
          <w:szCs w:val="32"/>
          <w:lang w:val="en-US" w:eastAsia="zh-CN"/>
        </w:rPr>
        <w:t>68390342</w:t>
      </w:r>
    </w:p>
    <w:p>
      <w:pPr>
        <w:snapToGrid w:val="0"/>
        <w:spacing w:line="348" w:lineRule="auto"/>
        <w:ind w:right="26" w:firstLine="643" w:firstLineChars="200"/>
        <w:rPr>
          <w:rFonts w:hint="eastAsia" w:ascii="仿宋" w:hAnsi="仿宋" w:eastAsia="仿宋"/>
          <w:b/>
          <w:bCs/>
          <w:sz w:val="32"/>
          <w:szCs w:val="32"/>
          <w:lang w:val="zh-CN" w:eastAsia="zh-CN"/>
        </w:rPr>
      </w:pPr>
      <w:r>
        <w:rPr>
          <w:rFonts w:hint="eastAsia" w:ascii="仿宋" w:hAnsi="仿宋" w:eastAsia="仿宋"/>
          <w:b/>
          <w:bCs/>
          <w:sz w:val="32"/>
          <w:szCs w:val="32"/>
          <w:lang w:val="zh-CN" w:eastAsia="zh-CN"/>
        </w:rPr>
        <w:t>联 系 人：刘若瑾</w:t>
      </w:r>
    </w:p>
    <w:p>
      <w:pPr>
        <w:snapToGrid w:val="0"/>
        <w:spacing w:line="348" w:lineRule="auto"/>
        <w:ind w:right="26" w:firstLine="643" w:firstLineChars="200"/>
        <w:rPr>
          <w:rFonts w:hint="eastAsia" w:ascii="仿宋" w:hAnsi="仿宋" w:eastAsia="仿宋"/>
          <w:b/>
          <w:bCs/>
          <w:sz w:val="32"/>
          <w:szCs w:val="32"/>
          <w:lang w:val="zh-CN" w:eastAsia="zh-CN"/>
        </w:rPr>
      </w:pPr>
    </w:p>
    <w:p>
      <w:pPr>
        <w:snapToGrid w:val="0"/>
        <w:spacing w:line="348" w:lineRule="auto"/>
        <w:ind w:right="26" w:firstLine="643" w:firstLineChars="200"/>
        <w:rPr>
          <w:rFonts w:hint="eastAsia" w:ascii="仿宋" w:hAnsi="仿宋" w:eastAsia="仿宋"/>
          <w:b/>
          <w:bCs/>
          <w:sz w:val="32"/>
          <w:szCs w:val="32"/>
          <w:lang w:val="zh-CN" w:eastAsia="zh-CN"/>
        </w:rPr>
      </w:pPr>
    </w:p>
    <w:p>
      <w:pPr>
        <w:snapToGrid w:val="0"/>
        <w:spacing w:line="348" w:lineRule="auto"/>
        <w:ind w:right="26" w:firstLine="5140" w:firstLineChars="1600"/>
        <w:rPr>
          <w:rFonts w:hint="eastAsia" w:ascii="仿宋" w:hAnsi="仿宋" w:eastAsia="仿宋"/>
          <w:b/>
          <w:bCs/>
          <w:sz w:val="32"/>
          <w:szCs w:val="32"/>
          <w:lang w:val="zh-CN" w:eastAsia="zh-CN"/>
        </w:rPr>
      </w:pPr>
      <w:r>
        <w:rPr>
          <w:rFonts w:hint="eastAsia" w:ascii="仿宋" w:hAnsi="仿宋" w:eastAsia="仿宋"/>
          <w:b/>
          <w:bCs/>
          <w:sz w:val="32"/>
          <w:szCs w:val="32"/>
          <w:lang w:val="zh-CN" w:eastAsia="zh-CN"/>
        </w:rPr>
        <w:t>北京市公园管理中心</w:t>
      </w:r>
    </w:p>
    <w:p>
      <w:pPr>
        <w:snapToGrid w:val="0"/>
        <w:spacing w:line="348" w:lineRule="auto"/>
        <w:ind w:right="26" w:firstLine="643" w:firstLineChars="200"/>
        <w:rPr>
          <w:rFonts w:hint="eastAsia" w:ascii="仿宋" w:hAnsi="仿宋" w:eastAsia="仿宋"/>
          <w:b/>
          <w:bCs/>
          <w:sz w:val="32"/>
          <w:szCs w:val="32"/>
          <w:lang w:val="zh-CN" w:eastAsia="zh-CN"/>
        </w:rPr>
      </w:pPr>
      <w:r>
        <w:rPr>
          <w:rFonts w:hint="eastAsia" w:ascii="仿宋" w:hAnsi="仿宋" w:eastAsia="仿宋"/>
          <w:b/>
          <w:bCs/>
          <w:sz w:val="32"/>
          <w:szCs w:val="32"/>
          <w:lang w:val="zh-CN" w:eastAsia="zh-CN"/>
        </w:rPr>
        <w:t xml:space="preserve">                               202</w:t>
      </w:r>
      <w:r>
        <w:rPr>
          <w:rFonts w:hint="eastAsia" w:ascii="仿宋" w:hAnsi="仿宋" w:eastAsia="仿宋"/>
          <w:b/>
          <w:bCs/>
          <w:sz w:val="32"/>
          <w:szCs w:val="32"/>
          <w:lang w:val="en-US" w:eastAsia="zh-CN"/>
        </w:rPr>
        <w:t>4</w:t>
      </w:r>
      <w:r>
        <w:rPr>
          <w:rFonts w:hint="eastAsia" w:ascii="仿宋" w:hAnsi="仿宋" w:eastAsia="仿宋"/>
          <w:b/>
          <w:bCs/>
          <w:sz w:val="32"/>
          <w:szCs w:val="32"/>
          <w:lang w:val="zh-CN" w:eastAsia="zh-CN"/>
        </w:rPr>
        <w:t>年0</w:t>
      </w:r>
      <w:r>
        <w:rPr>
          <w:rFonts w:hint="eastAsia" w:ascii="仿宋" w:hAnsi="仿宋" w:eastAsia="仿宋"/>
          <w:b/>
          <w:bCs/>
          <w:sz w:val="32"/>
          <w:szCs w:val="32"/>
          <w:lang w:val="en-US" w:eastAsia="zh-CN"/>
        </w:rPr>
        <w:t>5</w:t>
      </w:r>
      <w:r>
        <w:rPr>
          <w:rFonts w:hint="eastAsia" w:ascii="仿宋" w:hAnsi="仿宋" w:eastAsia="仿宋"/>
          <w:b/>
          <w:bCs/>
          <w:sz w:val="32"/>
          <w:szCs w:val="32"/>
          <w:lang w:val="zh-CN" w:eastAsia="zh-CN"/>
        </w:rPr>
        <w:t>月</w:t>
      </w:r>
      <w:bookmarkStart w:id="7" w:name="_GoBack"/>
      <w:bookmarkEnd w:id="7"/>
      <w:r>
        <w:rPr>
          <w:rFonts w:hint="eastAsia" w:ascii="仿宋" w:hAnsi="仿宋" w:eastAsia="仿宋"/>
          <w:b/>
          <w:bCs/>
          <w:sz w:val="32"/>
          <w:szCs w:val="32"/>
          <w:lang w:val="en-US" w:eastAsia="zh-CN"/>
        </w:rPr>
        <w:t>31</w:t>
      </w:r>
      <w:r>
        <w:rPr>
          <w:rFonts w:hint="eastAsia" w:ascii="仿宋" w:hAnsi="仿宋" w:eastAsia="仿宋"/>
          <w:b/>
          <w:bCs/>
          <w:sz w:val="32"/>
          <w:szCs w:val="32"/>
          <w:lang w:val="zh-CN" w:eastAsia="zh-CN"/>
        </w:rPr>
        <w:t xml:space="preserve"> 日</w:t>
      </w:r>
    </w:p>
    <w:p>
      <w:pPr>
        <w:widowControl/>
        <w:jc w:val="left"/>
        <w:rPr>
          <w:rFonts w:ascii="华文中宋" w:hAnsi="华文中宋" w:eastAsia="华文中宋"/>
          <w:b/>
          <w:color w:val="000000" w:themeColor="text1"/>
          <w:kern w:val="0"/>
          <w:sz w:val="32"/>
          <w:szCs w:val="32"/>
          <w14:textFill>
            <w14:solidFill>
              <w14:schemeClr w14:val="tx1"/>
            </w14:solidFill>
          </w14:textFill>
        </w:rPr>
      </w:pPr>
      <w:r>
        <w:rPr>
          <w:rFonts w:ascii="华文中宋" w:hAnsi="华文中宋" w:eastAsia="华文中宋"/>
          <w:b/>
          <w:color w:val="000000" w:themeColor="text1"/>
          <w:kern w:val="0"/>
          <w:sz w:val="32"/>
          <w:szCs w:val="32"/>
          <w14:textFill>
            <w14:solidFill>
              <w14:schemeClr w14:val="tx1"/>
            </w14:solidFill>
          </w14:textFill>
        </w:rPr>
        <w:br w:type="page"/>
      </w:r>
    </w:p>
    <w:p>
      <w:pPr>
        <w:jc w:val="center"/>
        <w:rPr>
          <w:rFonts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pPr>
        <w:widowControl/>
        <w:jc w:val="left"/>
        <w:rPr>
          <w:rFonts w:ascii="仿宋" w:hAnsi="仿宋" w:eastAsia="仿宋"/>
          <w:b/>
          <w:kern w:val="0"/>
          <w:sz w:val="24"/>
          <w:szCs w:val="24"/>
        </w:rPr>
      </w:pPr>
    </w:p>
    <w:p>
      <w:pPr>
        <w:pStyle w:val="2"/>
        <w:numPr>
          <w:ilvl w:val="0"/>
          <w:numId w:val="0"/>
        </w:numPr>
        <w:spacing w:line="260" w:lineRule="exact"/>
        <w:ind w:left="562" w:leftChars="205" w:hanging="132" w:hangingChars="41"/>
        <w:jc w:val="both"/>
        <w:rPr>
          <w:rFonts w:hint="eastAsia" w:ascii="仿宋" w:hAnsi="仿宋" w:eastAsia="仿宋" w:cs="Times New Roman"/>
          <w:b/>
          <w:color w:val="000000"/>
          <w:sz w:val="32"/>
          <w:szCs w:val="32"/>
        </w:rPr>
      </w:pPr>
      <w:r>
        <w:rPr>
          <w:rFonts w:hint="eastAsia" w:ascii="仿宋" w:hAnsi="仿宋" w:eastAsia="仿宋" w:cs="Times New Roman"/>
          <w:b/>
          <w:bCs w:val="0"/>
          <w:color w:val="000000"/>
          <w:kern w:val="44"/>
          <w:sz w:val="32"/>
          <w:szCs w:val="32"/>
          <w:lang w:val="en-US" w:eastAsia="zh-CN" w:bidi="ar-SA"/>
        </w:rPr>
        <w:t>一</w:t>
      </w:r>
      <w:r>
        <w:rPr>
          <w:rFonts w:hint="default" w:ascii="仿宋" w:hAnsi="仿宋" w:eastAsia="仿宋" w:cs="Times New Roman"/>
          <w:b/>
          <w:bCs w:val="0"/>
          <w:color w:val="000000"/>
          <w:kern w:val="44"/>
          <w:sz w:val="32"/>
          <w:szCs w:val="32"/>
          <w:lang w:val="en-US" w:eastAsia="zh-CN" w:bidi="ar-SA"/>
        </w:rPr>
        <w:t>、</w:t>
      </w:r>
      <w:r>
        <w:rPr>
          <w:rFonts w:hint="eastAsia" w:ascii="仿宋" w:hAnsi="仿宋" w:eastAsia="仿宋" w:cs="Times New Roman"/>
          <w:b/>
          <w:bCs w:val="0"/>
          <w:color w:val="000000"/>
          <w:sz w:val="32"/>
          <w:szCs w:val="32"/>
          <w:lang w:val="en-US" w:eastAsia="zh-CN"/>
        </w:rPr>
        <w:t>软件运维</w:t>
      </w:r>
      <w:r>
        <w:rPr>
          <w:rFonts w:hint="eastAsia" w:ascii="仿宋" w:hAnsi="仿宋" w:eastAsia="仿宋" w:cs="Times New Roman"/>
          <w:b/>
          <w:bCs w:val="0"/>
          <w:color w:val="000000"/>
          <w:sz w:val="32"/>
          <w:szCs w:val="32"/>
        </w:rPr>
        <w:t>需求</w:t>
      </w:r>
    </w:p>
    <w:p>
      <w:pPr>
        <w:pStyle w:val="3"/>
        <w:numPr>
          <w:ilvl w:val="0"/>
          <w:numId w:val="0"/>
        </w:numPr>
        <w:spacing w:before="156" w:after="156" w:line="26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1.1软件使用范围</w:t>
      </w:r>
    </w:p>
    <w:p>
      <w:pPr>
        <w:pStyle w:val="10"/>
        <w:numPr>
          <w:ilvl w:val="0"/>
          <w:numId w:val="0"/>
        </w:numPr>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软件核算功能使用范围为公园管理中心本级及下属单位，经费申请及网上报销功能涉及五家单位，五家单位各自独立的报销系统，需要分别维护。</w:t>
      </w:r>
    </w:p>
    <w:p>
      <w:pPr>
        <w:pStyle w:val="3"/>
        <w:numPr>
          <w:ilvl w:val="0"/>
          <w:numId w:val="0"/>
        </w:numPr>
        <w:spacing w:before="156" w:after="156" w:line="260" w:lineRule="exact"/>
        <w:ind w:firstLine="562" w:firstLineChars="200"/>
        <w:rPr>
          <w:rFonts w:hint="default"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1.2服务软件产品</w:t>
      </w:r>
    </w:p>
    <w:tbl>
      <w:tblPr>
        <w:tblStyle w:val="13"/>
        <w:tblW w:w="9240" w:type="dxa"/>
        <w:jc w:val="center"/>
        <w:tblLayout w:type="autofit"/>
        <w:tblCellMar>
          <w:top w:w="0" w:type="dxa"/>
          <w:left w:w="108" w:type="dxa"/>
          <w:bottom w:w="0" w:type="dxa"/>
          <w:right w:w="108" w:type="dxa"/>
        </w:tblCellMar>
      </w:tblPr>
      <w:tblGrid>
        <w:gridCol w:w="1540"/>
        <w:gridCol w:w="3120"/>
        <w:gridCol w:w="2660"/>
        <w:gridCol w:w="1920"/>
      </w:tblGrid>
      <w:tr>
        <w:tblPrEx>
          <w:tblCellMar>
            <w:top w:w="0" w:type="dxa"/>
            <w:left w:w="108" w:type="dxa"/>
            <w:bottom w:w="0" w:type="dxa"/>
            <w:right w:w="108" w:type="dxa"/>
          </w:tblCellMar>
        </w:tblPrEx>
        <w:trPr>
          <w:trHeight w:val="532" w:hRule="atLeast"/>
          <w:jc w:val="center"/>
        </w:trPr>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服务产品名称</w:t>
            </w:r>
          </w:p>
        </w:tc>
        <w:tc>
          <w:tcPr>
            <w:tcW w:w="31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软件产品模块</w:t>
            </w:r>
          </w:p>
        </w:tc>
        <w:tc>
          <w:tcPr>
            <w:tcW w:w="266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使用人数</w:t>
            </w:r>
          </w:p>
        </w:tc>
        <w:tc>
          <w:tcPr>
            <w:tcW w:w="19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使用单位数</w:t>
            </w:r>
          </w:p>
        </w:tc>
      </w:tr>
      <w:tr>
        <w:tblPrEx>
          <w:tblCellMar>
            <w:top w:w="0" w:type="dxa"/>
            <w:left w:w="108" w:type="dxa"/>
            <w:bottom w:w="0" w:type="dxa"/>
            <w:right w:w="108" w:type="dxa"/>
          </w:tblCellMar>
        </w:tblPrEx>
        <w:trPr>
          <w:trHeight w:val="600" w:hRule="atLeast"/>
          <w:jc w:val="center"/>
        </w:trPr>
        <w:tc>
          <w:tcPr>
            <w:tcW w:w="1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用友GRP-U8行政事业财务管理软件-新会计制度专版（G版）年度运维服务</w:t>
            </w: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基础数据管理系统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不限</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1</w:t>
            </w:r>
            <w:r>
              <w:rPr>
                <w:rFonts w:ascii="黑体" w:hAnsi="黑体" w:eastAsia="黑体" w:cs="宋体"/>
                <w:color w:val="333333"/>
                <w:kern w:val="0"/>
                <w:szCs w:val="21"/>
              </w:rPr>
              <w:t>8</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ascii="黑体" w:hAnsi="黑体" w:eastAsia="黑体" w:cs="宋体"/>
                <w:color w:val="000000"/>
                <w:kern w:val="0"/>
                <w:szCs w:val="21"/>
              </w:rPr>
              <w:t>指标管理系统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1</w:t>
            </w:r>
            <w:r>
              <w:rPr>
                <w:rFonts w:ascii="黑体" w:hAnsi="黑体" w:eastAsia="黑体" w:cs="宋体"/>
                <w:color w:val="000000"/>
                <w:kern w:val="0"/>
                <w:szCs w:val="21"/>
              </w:rPr>
              <w:t>8</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1</w:t>
            </w:r>
            <w:r>
              <w:rPr>
                <w:rFonts w:ascii="黑体" w:hAnsi="黑体" w:eastAsia="黑体" w:cs="宋体"/>
                <w:color w:val="000000"/>
                <w:kern w:val="0"/>
                <w:szCs w:val="21"/>
              </w:rPr>
              <w:t>8</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账务处理系统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3</w:t>
            </w:r>
            <w:r>
              <w:rPr>
                <w:rFonts w:ascii="黑体" w:hAnsi="黑体" w:eastAsia="黑体" w:cs="宋体"/>
                <w:color w:val="000000"/>
                <w:kern w:val="0"/>
                <w:szCs w:val="21"/>
              </w:rPr>
              <w:t>4</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1</w:t>
            </w:r>
            <w:r>
              <w:rPr>
                <w:rFonts w:ascii="黑体" w:hAnsi="黑体" w:eastAsia="黑体" w:cs="宋体"/>
                <w:color w:val="000000"/>
                <w:kern w:val="0"/>
                <w:szCs w:val="21"/>
              </w:rPr>
              <w:t>8</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经费申请系统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80</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5</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集中财务查询系统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5</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1</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合同管理系统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3</w:t>
            </w:r>
            <w:r>
              <w:rPr>
                <w:rFonts w:ascii="黑体" w:hAnsi="黑体" w:eastAsia="黑体" w:cs="宋体"/>
                <w:color w:val="000000"/>
                <w:kern w:val="0"/>
                <w:szCs w:val="21"/>
              </w:rPr>
              <w:t>4</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1</w:t>
            </w:r>
            <w:r>
              <w:rPr>
                <w:rFonts w:ascii="黑体" w:hAnsi="黑体" w:eastAsia="黑体" w:cs="宋体"/>
                <w:color w:val="000000"/>
                <w:kern w:val="0"/>
                <w:szCs w:val="21"/>
              </w:rPr>
              <w:t>8</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电子报表系统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1</w:t>
            </w:r>
            <w:r>
              <w:rPr>
                <w:rFonts w:ascii="黑体" w:hAnsi="黑体" w:eastAsia="黑体" w:cs="宋体"/>
                <w:color w:val="333333"/>
                <w:kern w:val="0"/>
                <w:szCs w:val="21"/>
              </w:rPr>
              <w:t>8</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1</w:t>
            </w:r>
            <w:r>
              <w:rPr>
                <w:rFonts w:ascii="黑体" w:hAnsi="黑体" w:eastAsia="黑体" w:cs="宋体"/>
                <w:color w:val="333333"/>
                <w:kern w:val="0"/>
                <w:szCs w:val="21"/>
              </w:rPr>
              <w:t>8</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hint="eastAsia" w:ascii="黑体" w:hAnsi="黑体" w:eastAsia="黑体" w:cs="宋体"/>
                <w:color w:val="000000"/>
                <w:kern w:val="0"/>
                <w:szCs w:val="21"/>
                <w:lang w:eastAsia="zh-CN"/>
              </w:rPr>
            </w:pPr>
            <w:r>
              <w:rPr>
                <w:rFonts w:hint="eastAsia" w:ascii="黑体" w:hAnsi="黑体" w:eastAsia="黑体" w:cs="宋体"/>
                <w:color w:val="000000"/>
                <w:kern w:val="0"/>
                <w:szCs w:val="21"/>
              </w:rPr>
              <w:t>网上报销系统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ascii="黑体" w:hAnsi="黑体" w:eastAsia="黑体" w:cs="宋体"/>
                <w:color w:val="333333"/>
                <w:kern w:val="0"/>
                <w:szCs w:val="21"/>
              </w:rPr>
              <w:t>600</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5</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决算报表编制系统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决算采集系统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决算报告系统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决算报表系统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p>
        </w:tc>
      </w:tr>
      <w:tr>
        <w:tblPrEx>
          <w:tblCellMar>
            <w:top w:w="0" w:type="dxa"/>
            <w:left w:w="108" w:type="dxa"/>
            <w:bottom w:w="0" w:type="dxa"/>
            <w:right w:w="108" w:type="dxa"/>
          </w:tblCellMar>
        </w:tblPrEx>
        <w:trPr>
          <w:trHeight w:val="600" w:hRule="atLeast"/>
          <w:jc w:val="center"/>
        </w:trPr>
        <w:tc>
          <w:tcPr>
            <w:tcW w:w="1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80" w:lineRule="exact"/>
              <w:jc w:val="left"/>
              <w:rPr>
                <w:rFonts w:ascii="黑体" w:hAnsi="黑体" w:eastAsia="黑体" w:cs="宋体"/>
                <w:color w:val="000000"/>
                <w:kern w:val="0"/>
                <w:szCs w:val="21"/>
              </w:rPr>
            </w:pPr>
          </w:p>
        </w:tc>
        <w:tc>
          <w:tcPr>
            <w:tcW w:w="31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出纳管理系统</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3</w:t>
            </w:r>
            <w:r>
              <w:rPr>
                <w:rFonts w:ascii="黑体" w:hAnsi="黑体" w:eastAsia="黑体" w:cs="宋体"/>
                <w:color w:val="333333"/>
                <w:kern w:val="0"/>
                <w:szCs w:val="21"/>
              </w:rPr>
              <w:t>2</w:t>
            </w:r>
          </w:p>
        </w:tc>
        <w:tc>
          <w:tcPr>
            <w:tcW w:w="1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80" w:lineRule="exact"/>
              <w:jc w:val="center"/>
              <w:rPr>
                <w:rFonts w:ascii="黑体" w:hAnsi="黑体" w:eastAsia="黑体" w:cs="宋体"/>
                <w:color w:val="333333"/>
                <w:kern w:val="0"/>
                <w:szCs w:val="21"/>
              </w:rPr>
            </w:pPr>
            <w:r>
              <w:rPr>
                <w:rFonts w:hint="eastAsia" w:ascii="黑体" w:hAnsi="黑体" w:eastAsia="黑体" w:cs="宋体"/>
                <w:color w:val="333333"/>
                <w:kern w:val="0"/>
                <w:szCs w:val="21"/>
              </w:rPr>
              <w:t>1</w:t>
            </w:r>
            <w:r>
              <w:rPr>
                <w:rFonts w:ascii="黑体" w:hAnsi="黑体" w:eastAsia="黑体" w:cs="宋体"/>
                <w:color w:val="333333"/>
                <w:kern w:val="0"/>
                <w:szCs w:val="21"/>
              </w:rPr>
              <w:t>8</w:t>
            </w:r>
          </w:p>
        </w:tc>
      </w:tr>
    </w:tbl>
    <w:p>
      <w:pPr>
        <w:pStyle w:val="10"/>
        <w:numPr>
          <w:ilvl w:val="0"/>
          <w:numId w:val="0"/>
        </w:numPr>
        <w:pBdr>
          <w:bottom w:val="none" w:color="auto" w:sz="0" w:space="0"/>
        </w:pBdr>
        <w:spacing w:line="360" w:lineRule="auto"/>
        <w:jc w:val="left"/>
        <w:rPr>
          <w:rFonts w:hint="eastAsia" w:ascii="黑体" w:hAnsi="黑体" w:eastAsia="黑体" w:cs="宋体"/>
          <w:color w:val="000000"/>
          <w:kern w:val="0"/>
          <w:sz w:val="21"/>
          <w:szCs w:val="21"/>
          <w:lang w:val="en-US" w:eastAsia="zh-CN" w:bidi="ar-SA"/>
        </w:rPr>
      </w:pPr>
    </w:p>
    <w:p>
      <w:pPr>
        <w:pStyle w:val="10"/>
        <w:numPr>
          <w:ilvl w:val="0"/>
          <w:numId w:val="0"/>
        </w:numPr>
        <w:pBdr>
          <w:bottom w:val="none" w:color="auto" w:sz="0" w:space="0"/>
        </w:pBdr>
        <w:spacing w:line="360" w:lineRule="auto"/>
        <w:jc w:val="left"/>
        <w:rPr>
          <w:rFonts w:hint="eastAsia" w:ascii="黑体" w:hAnsi="黑体" w:eastAsia="黑体" w:cs="宋体"/>
          <w:color w:val="000000"/>
          <w:kern w:val="0"/>
          <w:sz w:val="21"/>
          <w:szCs w:val="21"/>
          <w:lang w:val="en-US" w:eastAsia="zh-CN" w:bidi="ar-SA"/>
        </w:rPr>
      </w:pPr>
    </w:p>
    <w:p>
      <w:pPr>
        <w:pStyle w:val="3"/>
        <w:numPr>
          <w:ilvl w:val="0"/>
          <w:numId w:val="0"/>
        </w:numPr>
        <w:spacing w:before="156" w:after="156" w:line="26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1.3服务要求</w:t>
      </w:r>
    </w:p>
    <w:p>
      <w:pPr>
        <w:widowControl/>
        <w:spacing w:line="480" w:lineRule="exact"/>
        <w:ind w:firstLine="480" w:firstLineChars="20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lang w:val="en-US" w:eastAsia="zh-CN"/>
        </w:rPr>
        <w:t>1.3.1</w:t>
      </w:r>
      <w:r>
        <w:rPr>
          <w:rFonts w:hint="eastAsia" w:ascii="仿宋_GB2312" w:hAnsi="仿宋_GB2312" w:eastAsia="仿宋_GB2312" w:cs="仿宋_GB2312"/>
          <w:color w:val="333333"/>
          <w:kern w:val="0"/>
          <w:sz w:val="24"/>
          <w:szCs w:val="24"/>
          <w:shd w:val="clear" w:color="auto" w:fill="FFFFFF"/>
        </w:rPr>
        <w:t>运维服务公司派专人提供软件售后服务，解决使用过程中发生的问题；保证财务系统全年稳定、高效运行，系统整体全年可用性不低于99%。</w:t>
      </w:r>
    </w:p>
    <w:p>
      <w:pPr>
        <w:widowControl/>
        <w:spacing w:line="480" w:lineRule="exact"/>
        <w:ind w:firstLine="539"/>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lang w:val="en-US" w:eastAsia="zh-CN"/>
        </w:rPr>
        <w:t>1.3.2</w:t>
      </w:r>
      <w:r>
        <w:rPr>
          <w:rFonts w:hint="eastAsia" w:ascii="仿宋_GB2312" w:hAnsi="仿宋_GB2312" w:eastAsia="仿宋_GB2312" w:cs="仿宋_GB2312"/>
          <w:color w:val="333333"/>
          <w:kern w:val="0"/>
          <w:sz w:val="24"/>
          <w:szCs w:val="24"/>
          <w:shd w:val="clear" w:color="auto" w:fill="FFFFFF"/>
        </w:rPr>
        <w:t>服务内容包含：</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软件日常操作指导。</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软件故障排除。</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年度上门巡检服务。</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数据备份服务。</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软件使用培训。</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年末结账服务。</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年初建新账。</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软件补丁更新服务。</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软件改进需求收集及反馈。</w:t>
      </w:r>
    </w:p>
    <w:p>
      <w:pPr>
        <w:pStyle w:val="30"/>
        <w:widowControl/>
        <w:numPr>
          <w:ilvl w:val="0"/>
          <w:numId w:val="3"/>
        </w:numPr>
        <w:spacing w:line="480" w:lineRule="exact"/>
        <w:ind w:firstLineChars="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软件移机服务。</w:t>
      </w:r>
    </w:p>
    <w:p>
      <w:pPr>
        <w:widowControl/>
        <w:spacing w:line="480" w:lineRule="exact"/>
        <w:ind w:firstLine="480" w:firstLineChars="200"/>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lang w:val="en-US" w:eastAsia="zh-CN"/>
        </w:rPr>
        <w:t>1.3.3</w:t>
      </w:r>
      <w:r>
        <w:rPr>
          <w:rFonts w:hint="eastAsia" w:ascii="仿宋_GB2312" w:hAnsi="仿宋_GB2312" w:eastAsia="仿宋_GB2312" w:cs="仿宋_GB2312"/>
          <w:color w:val="333333"/>
          <w:kern w:val="0"/>
          <w:sz w:val="24"/>
          <w:szCs w:val="24"/>
          <w:shd w:val="clear" w:color="auto" w:fill="FFFFFF"/>
        </w:rPr>
        <w:t>服务人员对公园管理中心本级及下级单位提供电话、远程上门服务及节假日应急服务。其中电话及远程要求实时响应，上门服务要求1.5个工作日内响应。服务公司须提供5×8小时技术支持和服务，服务方式应包括但不限于：电话技术服务、远程技术支持服务、现场技术服务等。</w:t>
      </w:r>
    </w:p>
    <w:p>
      <w:pPr>
        <w:widowControl/>
        <w:spacing w:line="480" w:lineRule="exact"/>
        <w:ind w:firstLine="539"/>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shd w:val="clear" w:color="auto" w:fill="FFFFFF"/>
          <w:lang w:val="en-US" w:eastAsia="zh-CN"/>
        </w:rPr>
        <w:t>1.3.4</w:t>
      </w:r>
      <w:r>
        <w:rPr>
          <w:rFonts w:hint="eastAsia" w:ascii="仿宋_GB2312" w:hAnsi="仿宋_GB2312" w:eastAsia="仿宋_GB2312" w:cs="仿宋_GB2312"/>
          <w:color w:val="333333"/>
          <w:kern w:val="0"/>
          <w:sz w:val="24"/>
          <w:szCs w:val="24"/>
          <w:shd w:val="clear" w:color="auto" w:fill="FFFFFF"/>
        </w:rPr>
        <w:t>要求</w:t>
      </w:r>
      <w:r>
        <w:rPr>
          <w:rFonts w:hint="eastAsia" w:ascii="仿宋_GB2312" w:hAnsi="仿宋_GB2312" w:eastAsia="仿宋_GB2312" w:cs="仿宋_GB2312"/>
          <w:color w:val="333333"/>
          <w:kern w:val="0"/>
          <w:sz w:val="24"/>
          <w:szCs w:val="24"/>
        </w:rPr>
        <w:t>服务商需提供软件技术服务人员2名以上，技术人员需要具备软件运维经验2年以上</w:t>
      </w:r>
      <w:r>
        <w:rPr>
          <w:rFonts w:hint="eastAsia" w:ascii="仿宋_GB2312" w:hAnsi="仿宋_GB2312" w:eastAsia="仿宋_GB2312" w:cs="仿宋_GB2312"/>
          <w:color w:val="333333"/>
          <w:kern w:val="0"/>
          <w:sz w:val="24"/>
          <w:szCs w:val="24"/>
          <w:shd w:val="clear" w:color="auto" w:fill="FFFFFF"/>
        </w:rPr>
        <w:t>且熟悉政府会计制度。</w:t>
      </w:r>
    </w:p>
    <w:p>
      <w:pPr>
        <w:widowControl/>
        <w:spacing w:line="480" w:lineRule="exact"/>
        <w:ind w:firstLine="539"/>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lang w:val="en-US" w:eastAsia="zh-CN"/>
        </w:rPr>
        <w:t>1.3.5</w:t>
      </w:r>
      <w:r>
        <w:rPr>
          <w:rFonts w:hint="eastAsia" w:ascii="仿宋_GB2312" w:hAnsi="仿宋_GB2312" w:eastAsia="仿宋_GB2312" w:cs="仿宋_GB2312"/>
          <w:color w:val="333333"/>
          <w:kern w:val="0"/>
          <w:sz w:val="24"/>
          <w:szCs w:val="24"/>
          <w:shd w:val="clear" w:color="auto" w:fill="FFFFFF"/>
        </w:rPr>
        <w:t>运维服务公司应保证服务人员相对固定，一年内更换人员不超2次。</w:t>
      </w:r>
    </w:p>
    <w:p>
      <w:pPr>
        <w:widowControl/>
        <w:spacing w:line="480" w:lineRule="exact"/>
        <w:ind w:firstLine="539"/>
        <w:jc w:val="left"/>
        <w:rPr>
          <w:rFonts w:hint="eastAsia"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lang w:val="en-US" w:eastAsia="zh-CN"/>
        </w:rPr>
        <w:t>1.3.6</w:t>
      </w:r>
      <w:r>
        <w:rPr>
          <w:rFonts w:hint="eastAsia" w:ascii="仿宋_GB2312" w:hAnsi="仿宋_GB2312" w:eastAsia="仿宋_GB2312" w:cs="仿宋_GB2312"/>
          <w:color w:val="333333"/>
          <w:kern w:val="0"/>
          <w:sz w:val="24"/>
          <w:szCs w:val="24"/>
          <w:shd w:val="clear" w:color="auto" w:fill="FFFFFF"/>
        </w:rPr>
        <w:t>运维服务人员要遵守公园管理中心数据安全及保密要求。</w:t>
      </w:r>
    </w:p>
    <w:p>
      <w:pPr>
        <w:pStyle w:val="10"/>
        <w:numPr>
          <w:ilvl w:val="0"/>
          <w:numId w:val="0"/>
        </w:numPr>
        <w:pBdr>
          <w:bottom w:val="none" w:color="auto" w:sz="0" w:space="0"/>
        </w:pBdr>
        <w:spacing w:line="360" w:lineRule="auto"/>
        <w:jc w:val="left"/>
        <w:rPr>
          <w:rFonts w:hint="eastAsia" w:ascii="仿宋_GB2312" w:hAnsi="仿宋_GB2312" w:eastAsia="仿宋_GB2312" w:cs="仿宋_GB2312"/>
          <w:b/>
          <w:color w:val="000000"/>
          <w:kern w:val="44"/>
          <w:sz w:val="24"/>
          <w:szCs w:val="24"/>
          <w:lang w:val="en-US" w:eastAsia="zh-CN" w:bidi="ar-SA"/>
        </w:rPr>
      </w:pPr>
    </w:p>
    <w:p>
      <w:pPr>
        <w:pStyle w:val="10"/>
        <w:numPr>
          <w:ilvl w:val="0"/>
          <w:numId w:val="0"/>
        </w:numPr>
        <w:pBdr>
          <w:bottom w:val="none" w:color="auto" w:sz="0" w:space="0"/>
        </w:pBdr>
        <w:spacing w:line="360" w:lineRule="auto"/>
        <w:ind w:firstLine="643" w:firstLineChars="200"/>
        <w:jc w:val="left"/>
        <w:rPr>
          <w:rFonts w:hint="default" w:ascii="仿宋" w:hAnsi="仿宋" w:eastAsia="仿宋"/>
          <w:color w:val="000000"/>
          <w:sz w:val="32"/>
          <w:szCs w:val="32"/>
          <w:lang w:val="en-US"/>
        </w:rPr>
      </w:pPr>
      <w:r>
        <w:rPr>
          <w:rFonts w:hint="eastAsia" w:ascii="仿宋" w:hAnsi="仿宋" w:eastAsia="仿宋"/>
          <w:b/>
          <w:color w:val="000000"/>
          <w:kern w:val="44"/>
          <w:sz w:val="32"/>
          <w:szCs w:val="32"/>
          <w:lang w:val="en-US" w:eastAsia="zh-CN" w:bidi="ar-SA"/>
        </w:rPr>
        <w:t>二</w:t>
      </w:r>
      <w:r>
        <w:rPr>
          <w:rFonts w:hint="default" w:ascii="仿宋" w:hAnsi="仿宋" w:eastAsia="仿宋"/>
          <w:b/>
          <w:color w:val="000000"/>
          <w:kern w:val="44"/>
          <w:sz w:val="32"/>
          <w:szCs w:val="32"/>
          <w:lang w:val="en-US" w:eastAsia="zh-CN" w:bidi="ar-SA"/>
        </w:rPr>
        <w:t>、</w:t>
      </w:r>
      <w:r>
        <w:rPr>
          <w:rFonts w:hint="eastAsia" w:ascii="仿宋" w:hAnsi="仿宋" w:eastAsia="仿宋"/>
          <w:b/>
          <w:color w:val="000000"/>
          <w:kern w:val="44"/>
          <w:sz w:val="32"/>
          <w:szCs w:val="32"/>
          <w:lang w:val="en-US" w:eastAsia="zh-CN" w:bidi="ar-SA"/>
        </w:rPr>
        <w:t>内控模块升级需求</w:t>
      </w:r>
    </w:p>
    <w:p>
      <w:pPr>
        <w:pStyle w:val="3"/>
        <w:numPr>
          <w:ilvl w:val="0"/>
          <w:numId w:val="0"/>
        </w:numPr>
        <w:spacing w:before="156" w:after="156" w:line="2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lang w:val="en-US" w:eastAsia="zh-CN"/>
        </w:rPr>
        <w:t>2</w:t>
      </w:r>
      <w:r>
        <w:rPr>
          <w:rFonts w:ascii="仿宋" w:hAnsi="仿宋" w:eastAsia="仿宋"/>
          <w:b/>
          <w:bCs/>
          <w:color w:val="000000"/>
          <w:sz w:val="28"/>
          <w:szCs w:val="28"/>
        </w:rPr>
        <w:t>.1</w:t>
      </w:r>
      <w:r>
        <w:rPr>
          <w:rFonts w:hint="eastAsia" w:ascii="仿宋" w:hAnsi="仿宋" w:eastAsia="仿宋"/>
          <w:b/>
          <w:bCs/>
          <w:color w:val="000000"/>
          <w:sz w:val="28"/>
          <w:szCs w:val="28"/>
        </w:rPr>
        <w:t>业务需求</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在已有覆盖5家单位的内控系统的基础上进一步扩大范围，增加5家单位。建立一个全面覆盖公园管理中心的财务全过程监督、业务流程相互衔接、财务信息全部共享、内部控制严密规范、统计分析及时可靠的财务服务平台。</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内控系统模块范围：网上报销系统、经费申请系统、财务服务。</w:t>
      </w:r>
    </w:p>
    <w:p>
      <w:pPr>
        <w:pStyle w:val="3"/>
        <w:numPr>
          <w:ilvl w:val="0"/>
          <w:numId w:val="0"/>
        </w:numPr>
        <w:spacing w:before="0" w:after="0" w:line="360" w:lineRule="auto"/>
        <w:ind w:left="743" w:leftChars="299" w:hanging="115" w:hangingChars="41"/>
        <w:rPr>
          <w:rFonts w:ascii="仿宋" w:hAnsi="仿宋" w:eastAsia="仿宋"/>
          <w:color w:val="000000"/>
          <w:sz w:val="28"/>
          <w:szCs w:val="28"/>
        </w:rPr>
      </w:pPr>
      <w:r>
        <w:rPr>
          <w:rFonts w:hint="eastAsia" w:ascii="仿宋" w:hAnsi="仿宋" w:eastAsia="仿宋"/>
          <w:color w:val="000000"/>
          <w:sz w:val="28"/>
          <w:szCs w:val="28"/>
          <w:lang w:val="en-US" w:eastAsia="zh-CN"/>
        </w:rPr>
        <w:t>2</w:t>
      </w:r>
      <w:r>
        <w:rPr>
          <w:rFonts w:ascii="仿宋" w:hAnsi="仿宋" w:eastAsia="仿宋"/>
          <w:color w:val="000000"/>
          <w:sz w:val="28"/>
          <w:szCs w:val="28"/>
        </w:rPr>
        <w:t>.</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已有系统对接</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中心当前在用的用友U8政府会计制度专版含账务处理、电子报表、集中财务查询、合同管理、预算指标系统，本次系统建设需要与已有系统无缝对接，避免重复建设。</w:t>
      </w:r>
    </w:p>
    <w:p>
      <w:pPr>
        <w:pStyle w:val="3"/>
        <w:numPr>
          <w:ilvl w:val="0"/>
          <w:numId w:val="0"/>
        </w:numPr>
        <w:spacing w:before="156" w:after="156" w:line="2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lang w:val="en-US" w:eastAsia="zh-CN"/>
        </w:rPr>
        <w:t>2</w:t>
      </w:r>
      <w:r>
        <w:rPr>
          <w:rFonts w:ascii="仿宋" w:hAnsi="仿宋" w:eastAsia="仿宋"/>
          <w:b/>
          <w:bCs/>
          <w:color w:val="000000"/>
          <w:sz w:val="28"/>
          <w:szCs w:val="28"/>
        </w:rPr>
        <w:t>.</w:t>
      </w:r>
      <w:r>
        <w:rPr>
          <w:rFonts w:hint="eastAsia" w:ascii="仿宋" w:hAnsi="仿宋" w:eastAsia="仿宋"/>
          <w:b/>
          <w:bCs/>
          <w:color w:val="000000"/>
          <w:sz w:val="28"/>
          <w:szCs w:val="28"/>
          <w:lang w:val="en-US" w:eastAsia="zh-CN"/>
        </w:rPr>
        <w:t>3</w:t>
      </w:r>
      <w:r>
        <w:rPr>
          <w:rFonts w:hint="eastAsia" w:ascii="仿宋" w:hAnsi="仿宋" w:eastAsia="仿宋"/>
          <w:b/>
          <w:bCs/>
          <w:color w:val="000000"/>
          <w:sz w:val="28"/>
          <w:szCs w:val="28"/>
        </w:rPr>
        <w:t>安全需求</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通过财务服务平台的建设，对用户实施访问控制，保护用户和用户组的信息，避免其他用户对数据的非法读写和破坏,需要通过安全机制、日志管理、数据备份策略、权限管理等措施实现安全等级的保护。</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2.3.1安全机制:在使用系统前，需要根据具体应用和机构/岗位设置，对网络操作系统用户进行优化、分组和网络访问权限划分，从而在操作系统级确保应用系统的安全。</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2.3.2日志管理:对所有数据的一般操作(增、删、改)和文件流转过程进行记录，存放在日志库中。</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2.3.3备份策略:通过制定备份策略，使数据库系统能够自动定期进行数据备份，有效保障系统数据的安全。</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2.3.4权限管理:灵活的权限管理机制，既要体现人员的不同权限，同时还要满足人员变动频繁的情况。</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2.3.5运维安全管理:由于运维人员可能会接触用户机密数据，参与本项目的软件供应商人员需与中心签署保密协议。软件供应商人员到客户现场进行调研、现场开发、系统实施、运维服务时须按财务部门要求每天进行现场备案，为后期统计和人员事件跟踪提供信息依据。</w:t>
      </w:r>
    </w:p>
    <w:p>
      <w:pPr>
        <w:spacing w:line="360" w:lineRule="auto"/>
        <w:ind w:firstLine="562" w:firstLineChars="200"/>
        <w:rPr>
          <w:rFonts w:hint="eastAsia" w:ascii="仿宋_GB2312" w:hAnsi="仿宋_GB2312" w:eastAsia="仿宋_GB2312" w:cs="仿宋_GB2312"/>
          <w:b/>
          <w:bCs/>
          <w:color w:val="000000"/>
          <w:kern w:val="0"/>
          <w:sz w:val="28"/>
          <w:szCs w:val="28"/>
          <w:lang w:val="en-US" w:eastAsia="zh-CN" w:bidi="ar-SA"/>
        </w:rPr>
      </w:pPr>
      <w:bookmarkStart w:id="5" w:name="_Toc527913463"/>
      <w:r>
        <w:rPr>
          <w:rFonts w:hint="eastAsia" w:ascii="仿宋_GB2312" w:hAnsi="仿宋_GB2312" w:eastAsia="仿宋_GB2312" w:cs="仿宋_GB2312"/>
          <w:b/>
          <w:bCs/>
          <w:color w:val="000000"/>
          <w:kern w:val="0"/>
          <w:sz w:val="28"/>
          <w:szCs w:val="28"/>
          <w:lang w:val="en-US" w:eastAsia="zh-CN" w:bidi="ar-SA"/>
        </w:rPr>
        <w:t>2.4系统建设工期要求</w:t>
      </w:r>
    </w:p>
    <w:p>
      <w:pPr>
        <w:spacing w:line="360" w:lineRule="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 xml:space="preserve">   合同签订后10日内交付软件系统并开展实施工作，合同签订后4个月内完成系统实施并交付。</w:t>
      </w:r>
    </w:p>
    <w:p>
      <w:pPr>
        <w:spacing w:line="360" w:lineRule="auto"/>
        <w:ind w:firstLine="562" w:firstLineChars="200"/>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lang w:val="en-US" w:eastAsia="zh-CN" w:bidi="ar-SA"/>
        </w:rPr>
        <w:t>2.5技术支持及售后服务要求</w:t>
      </w:r>
      <w:bookmarkEnd w:id="5"/>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2.5.1系统维护期（质保期）</w:t>
      </w:r>
    </w:p>
    <w:p>
      <w:pPr>
        <w:spacing w:line="360" w:lineRule="auto"/>
        <w:ind w:firstLine="480" w:firstLineChars="200"/>
        <w:rPr>
          <w:rFonts w:hint="eastAsia" w:ascii="黑体" w:hAnsi="黑体" w:eastAsia="黑体" w:cs="宋体"/>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系统验收通过后，平台软件须提供一年免费质保技术服务；质保服务包括故障排除、性能调优、技术咨询等，并负责处理、协调与各系统软件。质保期从项目验收合格之日起开始计算，质保期内应根据需要派驻专门人员到现场指导并排障。在合同规定的免费服务期限之内，为中心免费提供各种技术服务，包括在线答疑、定期回访与技术培训。</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2.5.2产品升级服务</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软件应用支持及升级等包括主要版本的故障排除、版本维护、故障修复、补丁等。</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2.5.3服务响应及维护</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同软件运维服务需求</w:t>
      </w:r>
    </w:p>
    <w:p>
      <w:pPr>
        <w:spacing w:line="360" w:lineRule="auto"/>
        <w:ind w:firstLine="480" w:firstLineChars="200"/>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2.5.4技术培训服务</w:t>
      </w:r>
    </w:p>
    <w:p>
      <w:pPr>
        <w:spacing w:line="360" w:lineRule="auto"/>
        <w:ind w:firstLine="480" w:firstLineChars="200"/>
        <w:rPr>
          <w:rFonts w:hint="eastAsia" w:ascii="仿宋_GB2312" w:hAnsi="仿宋_GB2312" w:eastAsia="仿宋_GB2312" w:cs="仿宋_GB2312"/>
          <w:b w:val="0"/>
          <w:bCs w:val="0"/>
          <w:color w:val="000000"/>
          <w:kern w:val="0"/>
          <w:sz w:val="24"/>
          <w:szCs w:val="24"/>
          <w:lang w:val="zh-CN" w:eastAsia="zh-CN" w:bidi="ar-SA"/>
        </w:rPr>
      </w:pPr>
      <w:r>
        <w:rPr>
          <w:rFonts w:hint="eastAsia" w:ascii="仿宋_GB2312" w:hAnsi="仿宋_GB2312" w:eastAsia="仿宋_GB2312" w:cs="仿宋_GB2312"/>
          <w:b w:val="0"/>
          <w:bCs w:val="0"/>
          <w:color w:val="000000"/>
          <w:kern w:val="0"/>
          <w:sz w:val="24"/>
          <w:szCs w:val="24"/>
          <w:lang w:val="en-US" w:eastAsia="zh-CN" w:bidi="ar-SA"/>
        </w:rPr>
        <w:t>依据中心的实际情况，协商制定切实可行的完整培训计划，采用集中培训与个别指导两种方式，为用户免费培训使用人员与系统维护人员，使各类用户均能熟练掌握财务综合服务平台的日常操作，使系统维护人员熟悉本系统软件的结构、功能、数据结构、安装、运行管理与维护以及使用。培训人员必须为供应商公司专职技术人员。</w:t>
      </w:r>
    </w:p>
    <w:p>
      <w:pPr>
        <w:spacing w:line="360" w:lineRule="auto"/>
        <w:ind w:firstLine="480" w:firstLineChars="200"/>
        <w:rPr>
          <w:rFonts w:hint="eastAsia" w:ascii="黑体" w:hAnsi="黑体" w:eastAsia="黑体" w:cs="宋体"/>
          <w:color w:val="000000"/>
          <w:kern w:val="0"/>
          <w:sz w:val="24"/>
          <w:szCs w:val="24"/>
          <w:lang w:val="en-US" w:eastAsia="zh-CN" w:bidi="ar-SA"/>
        </w:rPr>
      </w:pPr>
    </w:p>
    <w:p>
      <w:pPr>
        <w:spacing w:line="360" w:lineRule="auto"/>
        <w:ind w:firstLine="480" w:firstLineChars="200"/>
        <w:rPr>
          <w:rFonts w:hint="eastAsia" w:ascii="黑体" w:hAnsi="黑体" w:eastAsia="黑体" w:cs="宋体"/>
          <w:color w:val="000000"/>
          <w:kern w:val="0"/>
          <w:sz w:val="24"/>
          <w:szCs w:val="24"/>
          <w:lang w:val="en-US" w:eastAsia="zh-CN" w:bidi="ar-SA"/>
        </w:rPr>
      </w:pPr>
    </w:p>
    <w:p>
      <w:pPr>
        <w:spacing w:line="360" w:lineRule="auto"/>
        <w:ind w:left="360" w:leftChars="171" w:hanging="1"/>
        <w:rPr>
          <w:rFonts w:ascii="宋体" w:hAnsi="宋体"/>
          <w:color w:val="000000"/>
          <w:szCs w:val="21"/>
        </w:rPr>
        <w:sectPr>
          <w:headerReference r:id="rId4" w:type="first"/>
          <w:headerReference r:id="rId3" w:type="default"/>
          <w:footerReference r:id="rId5" w:type="default"/>
          <w:footerReference r:id="rId6" w:type="even"/>
          <w:pgSz w:w="11906" w:h="16838"/>
          <w:pgMar w:top="1440" w:right="1797" w:bottom="1440" w:left="1797" w:header="851" w:footer="992" w:gutter="0"/>
          <w:pgNumType w:start="1"/>
          <w:cols w:space="425" w:num="1"/>
          <w:titlePg/>
          <w:docGrid w:type="lines" w:linePitch="312" w:charSpace="0"/>
        </w:sectPr>
      </w:pPr>
    </w:p>
    <w:p>
      <w:pPr>
        <w:numPr>
          <w:ilvl w:val="0"/>
          <w:numId w:val="0"/>
        </w:numPr>
        <w:jc w:val="both"/>
        <w:rPr>
          <w:rFonts w:ascii="华文中宋" w:hAnsi="华文中宋" w:eastAsia="华文中宋"/>
          <w:b/>
          <w:kern w:val="0"/>
          <w:sz w:val="32"/>
          <w:szCs w:val="32"/>
        </w:rPr>
      </w:pPr>
    </w:p>
    <w:p>
      <w:pPr>
        <w:pStyle w:val="5"/>
        <w:ind w:firstLine="1922" w:firstLineChars="600"/>
        <w:jc w:val="both"/>
        <w:rPr>
          <w:rFonts w:ascii="仿宋" w:hAnsi="仿宋" w:eastAsia="仿宋"/>
          <w:b/>
          <w:sz w:val="28"/>
          <w:szCs w:val="28"/>
        </w:rPr>
      </w:pPr>
      <w:r>
        <w:rPr>
          <w:rFonts w:hint="eastAsia" w:ascii="华文中宋" w:hAnsi="华文中宋" w:eastAsia="华文中宋"/>
          <w:b/>
          <w:kern w:val="0"/>
          <w:sz w:val="32"/>
          <w:szCs w:val="32"/>
        </w:rPr>
        <w:t>第</w:t>
      </w:r>
      <w:r>
        <w:rPr>
          <w:rFonts w:hint="eastAsia" w:ascii="华文中宋" w:hAnsi="华文中宋" w:eastAsia="华文中宋"/>
          <w:b/>
          <w:kern w:val="0"/>
          <w:sz w:val="32"/>
          <w:szCs w:val="32"/>
          <w:lang w:eastAsia="zh-CN"/>
        </w:rPr>
        <w:t>三</w:t>
      </w:r>
      <w:r>
        <w:rPr>
          <w:rFonts w:hint="eastAsia" w:ascii="华文中宋" w:hAnsi="华文中宋" w:eastAsia="华文中宋"/>
          <w:b/>
          <w:kern w:val="0"/>
          <w:sz w:val="32"/>
          <w:szCs w:val="32"/>
        </w:rPr>
        <w:t xml:space="preserve">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pPr>
        <w:pStyle w:val="23"/>
        <w:adjustRightInd w:val="0"/>
        <w:snapToGrid w:val="0"/>
        <w:spacing w:line="360" w:lineRule="auto"/>
        <w:jc w:val="center"/>
        <w:outlineLvl w:val="9"/>
        <w:rPr>
          <w:rFonts w:ascii="仿宋" w:hAnsi="仿宋" w:eastAsia="仿宋"/>
          <w:b/>
          <w:szCs w:val="28"/>
        </w:rPr>
      </w:pPr>
    </w:p>
    <w:p>
      <w:pPr>
        <w:widowControl/>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pPr>
        <w:widowControl/>
        <w:snapToGrid w:val="0"/>
        <w:spacing w:line="360" w:lineRule="auto"/>
        <w:jc w:val="left"/>
        <w:rPr>
          <w:rFonts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pPr>
        <w:spacing w:before="78" w:line="276" w:lineRule="auto"/>
        <w:ind w:left="419"/>
        <w:rPr>
          <w:rFonts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pPr>
        <w:spacing w:before="179" w:line="276" w:lineRule="auto"/>
        <w:ind w:left="434"/>
        <w:rPr>
          <w:rFonts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pPr>
        <w:spacing w:before="182" w:line="276" w:lineRule="auto"/>
        <w:ind w:left="448"/>
        <w:rPr>
          <w:rFonts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个日历日。</w:t>
      </w:r>
    </w:p>
    <w:p>
      <w:pPr>
        <w:spacing w:before="182" w:line="276" w:lineRule="auto"/>
        <w:ind w:left="448"/>
        <w:rPr>
          <w:rFonts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pPr>
        <w:spacing w:before="183" w:line="276" w:lineRule="auto"/>
        <w:ind w:left="436"/>
        <w:rPr>
          <w:rFonts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pPr>
        <w:spacing w:before="181" w:line="276" w:lineRule="auto"/>
        <w:ind w:left="436"/>
        <w:rPr>
          <w:rFonts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)如我方成交，我方将在法律规定的期限内与你方签订合同，按照比选文件要</w:t>
      </w:r>
      <w:r>
        <w:rPr>
          <w:rFonts w:ascii="仿宋" w:hAnsi="仿宋" w:eastAsia="仿宋" w:cs="宋体"/>
          <w:spacing w:val="-2"/>
          <w:sz w:val="24"/>
          <w:szCs w:val="24"/>
        </w:rPr>
        <w:t>求提交履约保证金，并在合同</w:t>
      </w:r>
      <w:r>
        <w:rPr>
          <w:rFonts w:ascii="仿宋" w:hAnsi="仿宋" w:eastAsia="仿宋" w:cs="宋体"/>
          <w:spacing w:val="-1"/>
          <w:sz w:val="24"/>
          <w:szCs w:val="24"/>
        </w:rPr>
        <w:t>约定的期限内完成合同规定的全部义务。</w:t>
      </w:r>
    </w:p>
    <w:p>
      <w:pPr>
        <w:spacing w:before="181" w:line="276" w:lineRule="auto"/>
        <w:ind w:left="436"/>
        <w:rPr>
          <w:rFonts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pPr>
        <w:spacing w:before="181" w:line="276" w:lineRule="auto"/>
        <w:ind w:left="436"/>
        <w:rPr>
          <w:rFonts w:ascii="仿宋" w:hAnsi="仿宋" w:eastAsia="仿宋" w:cs="宋体"/>
          <w:sz w:val="24"/>
          <w:szCs w:val="24"/>
        </w:rPr>
      </w:pPr>
    </w:p>
    <w:p>
      <w:pPr>
        <w:spacing w:line="290" w:lineRule="auto"/>
        <w:ind w:firstLine="424" w:firstLineChars="186"/>
        <w:rPr>
          <w:rFonts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pPr>
        <w:spacing w:line="290" w:lineRule="auto"/>
        <w:ind w:firstLine="706" w:firstLineChars="310"/>
        <w:rPr>
          <w:rFonts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pPr>
        <w:spacing w:line="290" w:lineRule="auto"/>
        <w:ind w:firstLine="744" w:firstLineChars="310"/>
        <w:rPr>
          <w:rFonts w:ascii="仿宋" w:hAnsi="仿宋" w:eastAsia="仿宋" w:cs="宋体"/>
          <w:sz w:val="24"/>
          <w:szCs w:val="24"/>
        </w:rPr>
      </w:pPr>
    </w:p>
    <w:p>
      <w:pPr>
        <w:spacing w:line="260" w:lineRule="auto"/>
      </w:pPr>
    </w:p>
    <w:p>
      <w:pPr>
        <w:spacing w:line="218" w:lineRule="auto"/>
        <w:ind w:firstLine="800" w:firstLineChars="400"/>
        <w:rPr>
          <w:rFonts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pPr>
        <w:tabs>
          <w:tab w:val="left" w:pos="2310"/>
        </w:tabs>
        <w:snapToGrid w:val="0"/>
        <w:spacing w:line="360" w:lineRule="auto"/>
        <w:ind w:firstLine="400" w:firstLineChars="200"/>
        <w:rPr>
          <w:rFonts w:ascii="仿宋" w:hAnsi="仿宋" w:eastAsia="仿宋" w:cs="宋体"/>
          <w:spacing w:val="-20"/>
          <w:sz w:val="24"/>
          <w:szCs w:val="24"/>
        </w:rPr>
      </w:pPr>
    </w:p>
    <w:p>
      <w:pPr>
        <w:tabs>
          <w:tab w:val="left" w:pos="2310"/>
        </w:tabs>
        <w:snapToGrid w:val="0"/>
        <w:spacing w:line="360" w:lineRule="auto"/>
        <w:ind w:firstLine="800" w:firstLineChars="400"/>
        <w:rPr>
          <w:rFonts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pPr>
        <w:tabs>
          <w:tab w:val="left" w:pos="2310"/>
        </w:tabs>
        <w:snapToGrid w:val="0"/>
        <w:spacing w:line="360" w:lineRule="auto"/>
        <w:ind w:firstLine="724" w:firstLineChars="302"/>
        <w:rPr>
          <w:rFonts w:ascii="仿宋" w:hAnsi="仿宋" w:eastAsia="仿宋"/>
          <w:sz w:val="24"/>
          <w:szCs w:val="24"/>
        </w:rPr>
      </w:pPr>
    </w:p>
    <w:p>
      <w:pPr>
        <w:tabs>
          <w:tab w:val="left" w:pos="2310"/>
        </w:tabs>
        <w:snapToGrid w:val="0"/>
        <w:spacing w:line="360" w:lineRule="auto"/>
        <w:ind w:firstLine="720" w:firstLineChars="300"/>
        <w:rPr>
          <w:rFonts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20" w:firstLineChars="300"/>
        <w:rPr>
          <w:rFonts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ascii="仿宋" w:hAnsi="仿宋" w:eastAsia="仿宋"/>
          <w:bCs/>
          <w:sz w:val="32"/>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pPr>
        <w:spacing w:line="360" w:lineRule="auto"/>
        <w:jc w:val="left"/>
        <w:rPr>
          <w:rFonts w:ascii="仿宋" w:hAnsi="仿宋" w:eastAsia="仿宋"/>
        </w:rPr>
      </w:pPr>
      <w:r>
        <w:rPr>
          <w:rFonts w:hint="eastAsia" w:ascii="华光标题宋_CNKI" w:hAnsi="华光标题宋_CNKI" w:eastAsia="华光标题宋_CNKI"/>
          <w:sz w:val="24"/>
          <w:szCs w:val="24"/>
        </w:rPr>
        <w:t>格式二：法定代表人授权委托书</w:t>
      </w:r>
    </w:p>
    <w:p>
      <w:pPr>
        <w:pStyle w:val="23"/>
        <w:adjustRightInd w:val="0"/>
        <w:snapToGrid w:val="0"/>
        <w:spacing w:line="360" w:lineRule="auto"/>
        <w:ind w:firstLine="640" w:firstLineChars="200"/>
        <w:jc w:val="center"/>
        <w:outlineLvl w:val="9"/>
        <w:rPr>
          <w:rFonts w:ascii="仿宋" w:hAnsi="仿宋" w:eastAsia="仿宋"/>
          <w:sz w:val="32"/>
          <w:szCs w:val="32"/>
        </w:rPr>
      </w:pPr>
    </w:p>
    <w:p>
      <w:pPr>
        <w:pStyle w:val="23"/>
        <w:adjustRightInd w:val="0"/>
        <w:snapToGrid w:val="0"/>
        <w:spacing w:line="360" w:lineRule="auto"/>
        <w:jc w:val="center"/>
        <w:outlineLvl w:val="9"/>
        <w:rPr>
          <w:rFonts w:ascii="仿宋" w:hAnsi="仿宋" w:eastAsia="仿宋"/>
          <w:szCs w:val="28"/>
        </w:rPr>
      </w:pPr>
      <w:r>
        <w:rPr>
          <w:rFonts w:hint="eastAsia" w:ascii="仿宋" w:hAnsi="仿宋" w:eastAsia="仿宋"/>
          <w:szCs w:val="24"/>
        </w:rPr>
        <w:t>法定代表人授权委托书</w:t>
      </w:r>
    </w:p>
    <w:p>
      <w:pPr>
        <w:pStyle w:val="23"/>
        <w:adjustRightInd w:val="0"/>
        <w:snapToGrid w:val="0"/>
        <w:spacing w:line="360" w:lineRule="auto"/>
        <w:ind w:firstLine="560" w:firstLineChars="200"/>
        <w:outlineLvl w:val="9"/>
        <w:rPr>
          <w:rFonts w:ascii="仿宋" w:hAnsi="仿宋" w:eastAsia="仿宋"/>
          <w:szCs w:val="28"/>
        </w:rPr>
      </w:pPr>
    </w:p>
    <w:p>
      <w:pPr>
        <w:pStyle w:val="23"/>
        <w:adjustRightInd w:val="0"/>
        <w:snapToGrid w:val="0"/>
        <w:spacing w:line="360" w:lineRule="auto"/>
        <w:ind w:firstLine="700" w:firstLineChars="250"/>
        <w:outlineLvl w:val="9"/>
        <w:rPr>
          <w:rFonts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pPr>
        <w:pStyle w:val="23"/>
        <w:adjustRightInd w:val="0"/>
        <w:snapToGrid w:val="0"/>
        <w:spacing w:line="360" w:lineRule="auto"/>
        <w:ind w:firstLine="700" w:firstLineChars="250"/>
        <w:outlineLvl w:val="9"/>
        <w:rPr>
          <w:rFonts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pPr>
        <w:pStyle w:val="23"/>
        <w:adjustRightInd w:val="0"/>
        <w:snapToGrid w:val="0"/>
        <w:spacing w:line="360" w:lineRule="auto"/>
        <w:ind w:firstLine="560" w:firstLineChars="200"/>
        <w:outlineLvl w:val="9"/>
        <w:rPr>
          <w:rFonts w:ascii="仿宋" w:hAnsi="仿宋" w:eastAsia="仿宋"/>
          <w:szCs w:val="28"/>
        </w:rPr>
      </w:pPr>
    </w:p>
    <w:p>
      <w:pPr>
        <w:pStyle w:val="23"/>
        <w:adjustRightInd w:val="0"/>
        <w:snapToGrid w:val="0"/>
        <w:spacing w:line="360" w:lineRule="auto"/>
        <w:ind w:firstLine="700" w:firstLineChars="250"/>
        <w:outlineLvl w:val="9"/>
        <w:rPr>
          <w:rFonts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pPr>
        <w:pStyle w:val="23"/>
        <w:adjustRightInd w:val="0"/>
        <w:snapToGrid w:val="0"/>
        <w:spacing w:line="360" w:lineRule="auto"/>
        <w:ind w:firstLine="560" w:firstLineChars="200"/>
        <w:outlineLvl w:val="9"/>
        <w:rPr>
          <w:rFonts w:ascii="仿宋" w:hAnsi="仿宋" w:eastAsia="仿宋"/>
          <w:szCs w:val="28"/>
        </w:rPr>
      </w:pPr>
    </w:p>
    <w:p>
      <w:pPr>
        <w:pStyle w:val="23"/>
        <w:adjustRightInd w:val="0"/>
        <w:snapToGrid w:val="0"/>
        <w:spacing w:line="360" w:lineRule="auto"/>
        <w:ind w:firstLine="700" w:firstLineChars="250"/>
        <w:outlineLvl w:val="9"/>
        <w:rPr>
          <w:rFonts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pPr>
        <w:pStyle w:val="23"/>
        <w:adjustRightInd w:val="0"/>
        <w:snapToGrid w:val="0"/>
        <w:spacing w:line="360" w:lineRule="auto"/>
        <w:ind w:firstLine="560" w:firstLineChars="200"/>
        <w:outlineLvl w:val="9"/>
        <w:rPr>
          <w:rFonts w:ascii="仿宋" w:hAnsi="仿宋" w:eastAsia="仿宋"/>
          <w:szCs w:val="28"/>
        </w:rPr>
      </w:pPr>
    </w:p>
    <w:p>
      <w:pPr>
        <w:snapToGrid w:val="0"/>
        <w:spacing w:line="360" w:lineRule="auto"/>
        <w:jc w:val="center"/>
        <w:rPr>
          <w:rFonts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pPr>
        <w:snapToGrid w:val="0"/>
        <w:spacing w:line="360" w:lineRule="auto"/>
        <w:jc w:val="center"/>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widowControl/>
        <w:jc w:val="left"/>
        <w:rPr>
          <w:rFonts w:ascii="仿宋" w:hAnsi="仿宋" w:eastAsia="仿宋"/>
          <w:szCs w:val="28"/>
          <w:u w:val="single"/>
        </w:rPr>
      </w:pPr>
    </w:p>
    <w:p>
      <w:pPr>
        <w:spacing w:line="360" w:lineRule="auto"/>
        <w:jc w:val="left"/>
        <w:rPr>
          <w:rFonts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格式三：用友</w:t>
      </w:r>
      <w:r>
        <w:rPr>
          <w:rFonts w:hint="eastAsia" w:ascii="华光标题宋_CNKI" w:hAnsi="华光标题宋_CNKI" w:eastAsia="华光标题宋_CNKI"/>
          <w:sz w:val="24"/>
          <w:szCs w:val="24"/>
          <w:lang w:eastAsia="zh-CN"/>
        </w:rPr>
        <w:t>代理</w:t>
      </w:r>
      <w:r>
        <w:rPr>
          <w:rFonts w:hint="eastAsia" w:ascii="华光标题宋_CNKI" w:hAnsi="华光标题宋_CNKI" w:eastAsia="华光标题宋_CNKI"/>
          <w:sz w:val="24"/>
          <w:szCs w:val="24"/>
        </w:rPr>
        <w:t>授权委托书（格式自拟）</w:t>
      </w:r>
    </w:p>
    <w:p>
      <w:pPr>
        <w:pStyle w:val="23"/>
        <w:adjustRightInd w:val="0"/>
        <w:snapToGrid w:val="0"/>
        <w:spacing w:line="360" w:lineRule="auto"/>
        <w:ind w:firstLine="640" w:firstLineChars="200"/>
        <w:jc w:val="center"/>
        <w:outlineLvl w:val="9"/>
        <w:rPr>
          <w:rFonts w:ascii="仿宋" w:hAnsi="仿宋" w:eastAsia="仿宋"/>
          <w:sz w:val="32"/>
          <w:szCs w:val="32"/>
        </w:rPr>
      </w:pPr>
    </w:p>
    <w:p>
      <w:pPr>
        <w:pStyle w:val="23"/>
        <w:adjustRightInd w:val="0"/>
        <w:snapToGrid w:val="0"/>
        <w:spacing w:line="360" w:lineRule="auto"/>
        <w:ind w:firstLine="560" w:firstLineChars="200"/>
        <w:jc w:val="center"/>
        <w:outlineLvl w:val="9"/>
        <w:rPr>
          <w:rFonts w:ascii="仿宋" w:hAnsi="仿宋" w:eastAsia="仿宋"/>
          <w:szCs w:val="28"/>
        </w:rPr>
      </w:pPr>
    </w:p>
    <w:p>
      <w:pPr>
        <w:pStyle w:val="23"/>
        <w:adjustRightInd w:val="0"/>
        <w:snapToGrid w:val="0"/>
        <w:spacing w:line="360" w:lineRule="auto"/>
        <w:ind w:firstLine="560" w:firstLineChars="200"/>
        <w:outlineLvl w:val="9"/>
        <w:rPr>
          <w:rFonts w:ascii="仿宋" w:hAnsi="仿宋" w:eastAsia="仿宋"/>
          <w:szCs w:val="28"/>
        </w:rPr>
      </w:pPr>
    </w:p>
    <w:p>
      <w:pPr>
        <w:widowControl/>
        <w:ind w:firstLine="840" w:firstLineChars="400"/>
        <w:jc w:val="left"/>
        <w:rPr>
          <w:rFonts w:ascii="华光标题宋_CNKI" w:hAnsi="华光标题宋_CNKI" w:eastAsia="华光标题宋_CNKI"/>
          <w:sz w:val="24"/>
          <w:szCs w:val="24"/>
        </w:rPr>
      </w:pPr>
      <w:r>
        <w:rPr>
          <w:rFonts w:hint="eastAsia" w:ascii="仿宋" w:hAnsi="仿宋" w:eastAsia="仿宋"/>
          <w:szCs w:val="28"/>
          <w:u w:val="single"/>
        </w:rPr>
        <w:t xml:space="preserve"> </w:t>
      </w:r>
    </w:p>
    <w:p>
      <w:pPr>
        <w:widowControl/>
        <w:jc w:val="left"/>
        <w:rPr>
          <w:rFonts w:ascii="华光标题宋_CNKI" w:hAnsi="华光标题宋_CNKI" w:eastAsia="华光标题宋_CNKI"/>
          <w:sz w:val="24"/>
          <w:szCs w:val="24"/>
        </w:rPr>
      </w:pPr>
      <w:r>
        <w:rPr>
          <w:rFonts w:ascii="华光标题宋_CNKI" w:hAnsi="华光标题宋_CNKI" w:eastAsia="华光标题宋_CNKI"/>
          <w:sz w:val="24"/>
          <w:szCs w:val="24"/>
        </w:rPr>
        <w:br w:type="page"/>
      </w:r>
    </w:p>
    <w:p>
      <w:pPr>
        <w:widowControl/>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pPr>
        <w:widowControl/>
        <w:jc w:val="left"/>
        <w:rPr>
          <w:rFonts w:ascii="华光标题宋_CNKI" w:hAnsi="华光标题宋_CNKI" w:eastAsia="华光标题宋_CNKI"/>
          <w:sz w:val="24"/>
          <w:szCs w:val="24"/>
        </w:rPr>
      </w:pPr>
      <w:r>
        <w:rPr>
          <w:rFonts w:ascii="华光标题宋_CNKI" w:hAnsi="华光标题宋_CNKI" w:eastAsia="华光标题宋_CNKI"/>
          <w:sz w:val="24"/>
          <w:szCs w:val="24"/>
        </w:rPr>
        <w:br w:type="page"/>
      </w:r>
    </w:p>
    <w:p>
      <w:pPr>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pPr>
        <w:pStyle w:val="23"/>
        <w:adjustRightInd w:val="0"/>
        <w:snapToGrid w:val="0"/>
        <w:spacing w:line="360" w:lineRule="auto"/>
        <w:outlineLvl w:val="9"/>
        <w:rPr>
          <w:rFonts w:ascii="仿宋" w:hAnsi="仿宋" w:eastAsia="仿宋"/>
          <w:bCs/>
          <w:sz w:val="32"/>
        </w:rPr>
      </w:pPr>
    </w:p>
    <w:tbl>
      <w:tblPr>
        <w:tblStyle w:val="13"/>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单位简况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申请人名称：</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地址：</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法定代表人名称：</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单位性质：</w:t>
            </w:r>
          </w:p>
        </w:tc>
        <w:tc>
          <w:tcPr>
            <w:tcW w:w="4536" w:type="dxa"/>
            <w:vAlign w:val="center"/>
          </w:tcPr>
          <w:p>
            <w:pPr>
              <w:pStyle w:val="23"/>
              <w:adjustRightInd w:val="0"/>
              <w:snapToGrid w:val="0"/>
              <w:spacing w:line="240" w:lineRule="auto"/>
              <w:jc w:val="left"/>
              <w:outlineLvl w:val="9"/>
              <w:rPr>
                <w:rFonts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pPr>
              <w:pStyle w:val="23"/>
              <w:adjustRightInd w:val="0"/>
              <w:snapToGrid w:val="0"/>
              <w:spacing w:line="240" w:lineRule="auto"/>
              <w:ind w:firstLine="240" w:firstLineChars="100"/>
              <w:jc w:val="center"/>
              <w:outlineLvl w:val="9"/>
              <w:rPr>
                <w:rFonts w:ascii="仿宋" w:hAnsi="仿宋" w:eastAsia="仿宋"/>
                <w:sz w:val="24"/>
                <w:szCs w:val="24"/>
              </w:rPr>
            </w:pPr>
            <w:r>
              <w:rPr>
                <w:rFonts w:hint="eastAsia" w:ascii="仿宋" w:hAnsi="仿宋" w:eastAsia="仿宋"/>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联系人：</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联系电话：</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手机：</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邮箱：</w:t>
            </w:r>
          </w:p>
        </w:tc>
        <w:tc>
          <w:tcPr>
            <w:tcW w:w="4536" w:type="dxa"/>
            <w:vAlign w:val="center"/>
          </w:tcPr>
          <w:p>
            <w:pPr>
              <w:pStyle w:val="23"/>
              <w:adjustRightInd w:val="0"/>
              <w:snapToGrid w:val="0"/>
              <w:spacing w:line="240" w:lineRule="auto"/>
              <w:outlineLvl w:val="9"/>
              <w:rPr>
                <w:rFonts w:ascii="仿宋" w:hAnsi="仿宋" w:eastAsia="仿宋"/>
                <w:sz w:val="24"/>
                <w:szCs w:val="24"/>
              </w:rPr>
            </w:pPr>
          </w:p>
        </w:tc>
      </w:tr>
    </w:tbl>
    <w:p>
      <w:pPr>
        <w:spacing w:line="360" w:lineRule="auto"/>
        <w:jc w:val="left"/>
        <w:rPr>
          <w:rFonts w:ascii="仿宋" w:hAnsi="仿宋" w:eastAsia="仿宋"/>
        </w:rPr>
      </w:pPr>
    </w:p>
    <w:p>
      <w:pPr>
        <w:spacing w:line="360" w:lineRule="auto"/>
        <w:jc w:val="left"/>
        <w:rPr>
          <w:rFonts w:ascii="仿宋" w:hAnsi="仿宋" w:eastAsia="仿宋"/>
        </w:rPr>
      </w:pPr>
    </w:p>
    <w:p>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ind w:firstLine="708" w:firstLineChars="295"/>
        <w:rPr>
          <w:rFonts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pPr>
        <w:widowControl/>
        <w:jc w:val="left"/>
        <w:rPr>
          <w:rFonts w:ascii="仿宋" w:hAnsi="仿宋" w:eastAsia="仿宋"/>
          <w:sz w:val="24"/>
          <w:szCs w:val="24"/>
          <w:lang w:val="zh-CN"/>
        </w:rPr>
      </w:pPr>
      <w:r>
        <w:rPr>
          <w:rFonts w:ascii="仿宋" w:hAnsi="仿宋" w:eastAsia="仿宋"/>
          <w:sz w:val="24"/>
          <w:szCs w:val="24"/>
          <w:lang w:val="zh-CN"/>
        </w:rPr>
        <w:br w:type="page"/>
      </w:r>
    </w:p>
    <w:p>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pPr>
        <w:spacing w:line="218" w:lineRule="auto"/>
        <w:jc w:val="center"/>
        <w:rPr>
          <w:rFonts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pPr>
        <w:spacing w:before="78" w:line="219" w:lineRule="auto"/>
        <w:ind w:left="9"/>
        <w:rPr>
          <w:rFonts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pPr>
        <w:spacing w:before="180"/>
        <w:ind w:left="488"/>
        <w:rPr>
          <w:rFonts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pPr>
        <w:spacing w:before="181"/>
        <w:ind w:left="42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pPr>
        <w:spacing w:before="183"/>
        <w:ind w:left="42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pPr>
        <w:spacing w:before="180"/>
        <w:ind w:left="42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pPr>
        <w:spacing w:before="178"/>
        <w:ind w:left="1141" w:right="13" w:hanging="712"/>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pPr>
        <w:spacing w:before="178"/>
        <w:ind w:left="1141" w:right="13" w:hanging="712"/>
        <w:rPr>
          <w:rFonts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pPr>
        <w:spacing w:before="182"/>
        <w:ind w:left="1144" w:right="2" w:hanging="715"/>
        <w:rPr>
          <w:rFonts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pPr>
        <w:spacing w:line="143" w:lineRule="exact"/>
      </w:pPr>
    </w:p>
    <w:p>
      <w:pPr>
        <w:spacing w:line="143" w:lineRule="exact"/>
      </w:pPr>
    </w:p>
    <w:tbl>
      <w:tblPr>
        <w:tblStyle w:val="29"/>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jc w:val="center"/>
        </w:trPr>
        <w:tc>
          <w:tcPr>
            <w:tcW w:w="954" w:type="dxa"/>
          </w:tcPr>
          <w:p>
            <w:pPr>
              <w:spacing w:before="99" w:line="222" w:lineRule="auto"/>
              <w:ind w:left="243"/>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pPr>
              <w:spacing w:before="99" w:line="221" w:lineRule="auto"/>
              <w:ind w:left="1814"/>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pPr>
              <w:spacing w:before="99" w:line="221" w:lineRule="auto"/>
              <w:ind w:left="1017"/>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bl>
    <w:p>
      <w:pPr>
        <w:spacing w:before="282" w:line="220" w:lineRule="auto"/>
        <w:ind w:left="491"/>
        <w:rPr>
          <w:rFonts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pPr>
        <w:spacing w:line="387" w:lineRule="auto"/>
      </w:pPr>
    </w:p>
    <w:p>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pPr>
        <w:ind w:firstLine="5610" w:firstLineChars="3300"/>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pPr>
        <w:widowControl/>
        <w:jc w:val="left"/>
        <w:rPr>
          <w:rFonts w:ascii="宋体" w:hAnsi="宋体" w:eastAsia="宋体" w:cs="宋体"/>
          <w:spacing w:val="-8"/>
          <w:sz w:val="24"/>
          <w:szCs w:val="24"/>
        </w:rPr>
      </w:pPr>
      <w:r>
        <w:rPr>
          <w:rFonts w:ascii="宋体" w:hAnsi="宋体" w:eastAsia="宋体" w:cs="宋体"/>
          <w:spacing w:val="-8"/>
          <w:sz w:val="24"/>
          <w:szCs w:val="24"/>
        </w:rPr>
        <w:br w:type="page"/>
      </w:r>
    </w:p>
    <w:p>
      <w:pPr>
        <w:widowControl/>
        <w:jc w:val="left"/>
        <w:rPr>
          <w:rFonts w:ascii="宋体" w:hAnsi="宋体" w:eastAsia="宋体" w:cs="宋体"/>
          <w:sz w:val="24"/>
          <w:szCs w:val="24"/>
        </w:rPr>
      </w:pPr>
      <w:r>
        <w:rPr>
          <w:rFonts w:hint="eastAsia" w:ascii="华光标题宋_CNKI" w:hAnsi="华光标题宋_CNKI" w:eastAsia="华光标题宋_CNKI"/>
          <w:sz w:val="24"/>
          <w:szCs w:val="24"/>
        </w:rPr>
        <w:t>格式八：申请人信用记录</w:t>
      </w:r>
    </w:p>
    <w:p>
      <w:pPr>
        <w:pStyle w:val="30"/>
        <w:numPr>
          <w:ilvl w:val="0"/>
          <w:numId w:val="0"/>
        </w:numPr>
        <w:snapToGrid w:val="0"/>
        <w:spacing w:line="360" w:lineRule="auto"/>
        <w:ind w:left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16"/>
          <w:b/>
        </w:rPr>
        <w:t>www.creditchina.gov.cn</w:t>
      </w:r>
      <w:r>
        <w:rPr>
          <w:rStyle w:val="16"/>
          <w:b/>
        </w:rPr>
        <w:fldChar w:fldCharType="end"/>
      </w:r>
      <w:r>
        <w:rPr>
          <w:rFonts w:hint="eastAsia"/>
          <w:b/>
        </w:rPr>
        <w:t>）</w:t>
      </w:r>
    </w:p>
    <w:p>
      <w:pPr>
        <w:pStyle w:val="30"/>
        <w:snapToGrid w:val="0"/>
        <w:spacing w:line="360" w:lineRule="auto"/>
        <w:ind w:left="360" w:firstLine="0" w:firstLineChars="0"/>
        <w:jc w:val="left"/>
        <w:rPr>
          <w:b/>
        </w:rPr>
      </w:pPr>
      <w:r>
        <w:drawing>
          <wp:inline distT="0" distB="0" distL="0" distR="0">
            <wp:extent cx="5274310" cy="4440555"/>
            <wp:effectExtent l="0" t="0" r="2540" b="0"/>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9"/>
                    <a:stretch>
                      <a:fillRect/>
                    </a:stretch>
                  </pic:blipFill>
                  <pic:spPr>
                    <a:xfrm>
                      <a:off x="0" y="0"/>
                      <a:ext cx="5274310" cy="4440555"/>
                    </a:xfrm>
                    <a:prstGeom prst="rect">
                      <a:avLst/>
                    </a:prstGeom>
                  </pic:spPr>
                </pic:pic>
              </a:graphicData>
            </a:graphic>
          </wp:inline>
        </w:drawing>
      </w:r>
    </w:p>
    <w:p>
      <w:pPr>
        <w:pStyle w:val="30"/>
        <w:snapToGrid w:val="0"/>
        <w:spacing w:line="360" w:lineRule="auto"/>
        <w:ind w:left="360" w:firstLine="0" w:firstLineChars="0"/>
        <w:jc w:val="left"/>
        <w:rPr>
          <w:b/>
        </w:rPr>
      </w:pPr>
    </w:p>
    <w:p>
      <w:pPr>
        <w:widowControl/>
        <w:jc w:val="left"/>
        <w:rPr>
          <w:b/>
        </w:rPr>
      </w:pPr>
      <w:r>
        <w:rPr>
          <w:b/>
        </w:rPr>
        <w:br w:type="page"/>
      </w:r>
    </w:p>
    <w:p>
      <w:pPr>
        <w:widowControl/>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pPr>
        <w:widowControl/>
        <w:jc w:val="left"/>
        <w:rPr>
          <w:rFonts w:ascii="华光标题宋_CNKI" w:hAnsi="华光标题宋_CNKI" w:eastAsia="华光标题宋_CNKI"/>
          <w:sz w:val="24"/>
          <w:szCs w:val="24"/>
        </w:rPr>
      </w:pPr>
      <w:r>
        <w:rPr>
          <w:rFonts w:ascii="华光标题宋_CNKI" w:hAnsi="华光标题宋_CNKI" w:eastAsia="华光标题宋_CNKI"/>
          <w:sz w:val="24"/>
          <w:szCs w:val="24"/>
        </w:rPr>
        <w:br w:type="page"/>
      </w:r>
    </w:p>
    <w:p>
      <w:pPr>
        <w:snapToGrid w:val="0"/>
        <w:spacing w:line="360" w:lineRule="auto"/>
        <w:jc w:val="left"/>
        <w:rPr>
          <w:rFonts w:ascii="仿宋" w:hAnsi="仿宋" w:eastAsia="仿宋" w:cs="楷体_GB2312"/>
          <w:sz w:val="24"/>
          <w:lang w:val="zh-CN"/>
        </w:rPr>
      </w:pPr>
      <w:r>
        <w:rPr>
          <w:rFonts w:hint="eastAsia" w:ascii="华光标题宋_CNKI" w:hAnsi="华光标题宋_CNKI" w:eastAsia="华光标题宋_CNKI"/>
          <w:sz w:val="24"/>
          <w:szCs w:val="24"/>
        </w:rPr>
        <w:t>格式十：报价一览表</w:t>
      </w:r>
    </w:p>
    <w:p>
      <w:pPr>
        <w:spacing w:line="218" w:lineRule="auto"/>
        <w:jc w:val="center"/>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pPr>
        <w:spacing w:line="326" w:lineRule="auto"/>
      </w:pPr>
    </w:p>
    <w:p>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pPr>
        <w:spacing w:line="148" w:lineRule="exact"/>
      </w:pPr>
    </w:p>
    <w:tbl>
      <w:tblPr>
        <w:tblStyle w:val="29"/>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line="410" w:lineRule="auto"/>
              <w:rPr>
                <w:rFonts w:ascii="Arial" w:hAnsi="Arial" w:cs="Arial"/>
                <w:snapToGrid w:val="0"/>
                <w:color w:val="000000"/>
                <w:kern w:val="0"/>
                <w:szCs w:val="21"/>
              </w:rPr>
            </w:pPr>
          </w:p>
          <w:p>
            <w:pPr>
              <w:spacing w:before="78" w:line="222" w:lineRule="auto"/>
              <w:ind w:left="174"/>
              <w:rPr>
                <w:rFonts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pPr>
              <w:spacing w:line="411" w:lineRule="auto"/>
              <w:rPr>
                <w:rFonts w:ascii="Arial" w:hAnsi="Arial" w:cs="Arial"/>
                <w:snapToGrid w:val="0"/>
                <w:color w:val="000000"/>
                <w:kern w:val="0"/>
                <w:szCs w:val="21"/>
              </w:rPr>
            </w:pPr>
          </w:p>
          <w:p>
            <w:pPr>
              <w:spacing w:before="78" w:line="219" w:lineRule="auto"/>
              <w:ind w:left="1006"/>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pPr>
              <w:spacing w:before="150" w:line="219" w:lineRule="auto"/>
              <w:ind w:left="1844"/>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rPr>
                <w:rFonts w:ascii="Arial" w:hAnsi="Arial" w:cs="Arial"/>
                <w:snapToGrid w:val="0"/>
                <w:color w:val="000000"/>
                <w:kern w:val="0"/>
                <w:szCs w:val="21"/>
              </w:rPr>
            </w:pPr>
          </w:p>
        </w:tc>
        <w:tc>
          <w:tcPr>
            <w:tcW w:w="3202" w:type="dxa"/>
            <w:vMerge w:val="continue"/>
            <w:tcBorders>
              <w:top w:val="nil"/>
            </w:tcBorders>
          </w:tcPr>
          <w:p>
            <w:pPr>
              <w:rPr>
                <w:rFonts w:ascii="Arial" w:hAnsi="Arial" w:cs="Arial"/>
                <w:snapToGrid w:val="0"/>
                <w:color w:val="000000"/>
                <w:kern w:val="0"/>
                <w:szCs w:val="21"/>
              </w:rPr>
            </w:pPr>
          </w:p>
        </w:tc>
        <w:tc>
          <w:tcPr>
            <w:tcW w:w="2025" w:type="dxa"/>
          </w:tcPr>
          <w:p>
            <w:pPr>
              <w:spacing w:before="217" w:line="221" w:lineRule="auto"/>
              <w:ind w:left="783"/>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pPr>
              <w:spacing w:before="217" w:line="222" w:lineRule="auto"/>
              <w:ind w:left="840"/>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Arial" w:hAnsi="Arial" w:cs="Arial"/>
                <w:snapToGrid w:val="0"/>
                <w:color w:val="000000"/>
                <w:kern w:val="0"/>
                <w:szCs w:val="21"/>
              </w:rPr>
            </w:pPr>
          </w:p>
        </w:tc>
        <w:tc>
          <w:tcPr>
            <w:tcW w:w="3202" w:type="dxa"/>
          </w:tcPr>
          <w:p>
            <w:pPr>
              <w:rPr>
                <w:rFonts w:ascii="Arial" w:hAnsi="Arial" w:cs="Arial"/>
                <w:snapToGrid w:val="0"/>
                <w:color w:val="000000"/>
                <w:kern w:val="0"/>
                <w:szCs w:val="21"/>
              </w:rPr>
            </w:pPr>
          </w:p>
        </w:tc>
        <w:tc>
          <w:tcPr>
            <w:tcW w:w="2025" w:type="dxa"/>
          </w:tcPr>
          <w:p>
            <w:pPr>
              <w:rPr>
                <w:rFonts w:ascii="Arial" w:hAnsi="Arial" w:cs="Arial"/>
                <w:snapToGrid w:val="0"/>
                <w:color w:val="000000"/>
                <w:kern w:val="0"/>
                <w:szCs w:val="21"/>
              </w:rPr>
            </w:pPr>
          </w:p>
        </w:tc>
        <w:tc>
          <w:tcPr>
            <w:tcW w:w="2136" w:type="dxa"/>
          </w:tcPr>
          <w:p>
            <w:pPr>
              <w:rPr>
                <w:rFonts w:ascii="Arial" w:hAnsi="Arial" w:cs="Arial"/>
                <w:snapToGrid w:val="0"/>
                <w:color w:val="000000"/>
                <w:kern w:val="0"/>
                <w:szCs w:val="21"/>
              </w:rPr>
            </w:pPr>
          </w:p>
        </w:tc>
      </w:tr>
    </w:tbl>
    <w:p>
      <w:pPr>
        <w:spacing w:before="315" w:line="219" w:lineRule="auto"/>
        <w:ind w:left="9" w:firstLine="448" w:firstLineChars="200"/>
        <w:rPr>
          <w:rFonts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pPr>
        <w:spacing w:before="28" w:line="219" w:lineRule="auto"/>
        <w:ind w:left="498" w:firstLine="538" w:firstLineChars="228"/>
        <w:rPr>
          <w:rFonts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pPr>
        <w:spacing w:line="285" w:lineRule="auto"/>
      </w:pPr>
    </w:p>
    <w:p>
      <w:pPr>
        <w:spacing w:line="285" w:lineRule="auto"/>
      </w:pPr>
    </w:p>
    <w:p>
      <w:pPr>
        <w:spacing w:line="285" w:lineRule="auto"/>
      </w:pPr>
    </w:p>
    <w:p>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pPr>
        <w:snapToGrid w:val="0"/>
        <w:spacing w:line="360" w:lineRule="auto"/>
        <w:ind w:firstLine="707" w:firstLineChars="402"/>
        <w:jc w:val="left"/>
        <w:rPr>
          <w:rFonts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格式十</w:t>
      </w:r>
      <w:r>
        <w:rPr>
          <w:rFonts w:hint="eastAsia" w:ascii="华光标题宋_CNKI" w:hAnsi="华光标题宋_CNKI" w:eastAsia="华光标题宋_CNKI"/>
          <w:sz w:val="24"/>
          <w:szCs w:val="24"/>
          <w:lang w:eastAsia="zh-CN"/>
        </w:rPr>
        <w:t>一</w:t>
      </w:r>
      <w:r>
        <w:rPr>
          <w:rFonts w:hint="eastAsia" w:ascii="华光标题宋_CNKI" w:hAnsi="华光标题宋_CNKI" w:eastAsia="华光标题宋_CNKI"/>
          <w:sz w:val="24"/>
          <w:szCs w:val="24"/>
        </w:rPr>
        <w:t>：</w:t>
      </w:r>
      <w:bookmarkStart w:id="6" w:name="_Hlk165044151"/>
      <w:r>
        <w:rPr>
          <w:rFonts w:ascii="华光标题宋_CNKI" w:hAnsi="华光标题宋_CNKI" w:eastAsia="华光标题宋_CNKI"/>
          <w:sz w:val="24"/>
          <w:szCs w:val="24"/>
        </w:rPr>
        <w:t>分项报价表</w:t>
      </w:r>
      <w:bookmarkEnd w:id="6"/>
    </w:p>
    <w:p>
      <w:pPr>
        <w:spacing w:line="218" w:lineRule="auto"/>
        <w:jc w:val="center"/>
        <w:rPr>
          <w:rFonts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pPr>
        <w:spacing w:line="363" w:lineRule="auto"/>
      </w:pPr>
    </w:p>
    <w:p>
      <w:pPr>
        <w:spacing w:before="172" w:line="387" w:lineRule="exact"/>
        <w:rPr>
          <w:rFonts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2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pPr>
              <w:spacing w:line="211" w:lineRule="auto"/>
              <w:rPr>
                <w:rFonts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pPr>
              <w:spacing w:before="175" w:line="221" w:lineRule="auto"/>
              <w:ind w:left="115"/>
              <w:jc w:val="center"/>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pPr>
              <w:spacing w:before="175" w:line="219" w:lineRule="auto"/>
              <w:ind w:left="115"/>
              <w:rPr>
                <w:rFonts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pPr>
              <w:spacing w:before="175" w:line="220" w:lineRule="auto"/>
              <w:ind w:left="441"/>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pPr>
              <w:spacing w:before="175" w:line="219" w:lineRule="auto"/>
              <w:ind w:left="116"/>
              <w:rPr>
                <w:rFonts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pPr>
              <w:spacing w:before="99" w:line="382" w:lineRule="exact"/>
              <w:ind w:left="119"/>
              <w:jc w:val="center"/>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6237" w:type="dxa"/>
            <w:gridSpan w:val="4"/>
          </w:tcPr>
          <w:p>
            <w:pPr>
              <w:spacing w:before="84" w:line="219" w:lineRule="auto"/>
              <w:ind w:left="2530"/>
              <w:rPr>
                <w:rFonts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bl>
    <w:p>
      <w:pPr>
        <w:spacing w:line="255" w:lineRule="auto"/>
      </w:pPr>
    </w:p>
    <w:p>
      <w:pPr>
        <w:spacing w:line="256" w:lineRule="auto"/>
      </w:pPr>
    </w:p>
    <w:p>
      <w:pPr>
        <w:spacing w:line="260" w:lineRule="auto"/>
      </w:pPr>
    </w:p>
    <w:p>
      <w:pPr>
        <w:spacing w:line="261" w:lineRule="auto"/>
      </w:pPr>
    </w:p>
    <w:p>
      <w:pPr>
        <w:spacing w:before="78" w:line="219" w:lineRule="auto"/>
        <w:ind w:left="122"/>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pPr>
        <w:spacing w:before="24" w:line="220" w:lineRule="auto"/>
        <w:ind w:left="610" w:firstLine="99" w:firstLineChars="39"/>
        <w:rPr>
          <w:rFonts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pPr>
        <w:spacing w:before="27" w:line="254" w:lineRule="auto"/>
        <w:ind w:left="145" w:right="128" w:firstLine="564"/>
        <w:rPr>
          <w:rFonts w:ascii="宋体" w:hAnsi="宋体" w:eastAsia="宋体" w:cs="宋体"/>
          <w:sz w:val="24"/>
          <w:szCs w:val="24"/>
        </w:rPr>
      </w:pPr>
    </w:p>
    <w:p>
      <w:pPr>
        <w:spacing w:line="350" w:lineRule="auto"/>
      </w:pPr>
    </w:p>
    <w:p>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pPr>
        <w:widowControl/>
        <w:ind w:firstLine="140" w:firstLineChars="80"/>
        <w:jc w:val="left"/>
        <w:rPr>
          <w:rFonts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格式十</w:t>
      </w:r>
      <w:r>
        <w:rPr>
          <w:rFonts w:hint="eastAsia" w:ascii="华光标题宋_CNKI" w:hAnsi="华光标题宋_CNKI" w:eastAsia="华光标题宋_CNKI"/>
          <w:sz w:val="24"/>
          <w:szCs w:val="24"/>
          <w:lang w:eastAsia="zh-CN"/>
        </w:rPr>
        <w:t>二</w:t>
      </w:r>
      <w:r>
        <w:rPr>
          <w:rFonts w:hint="eastAsia" w:ascii="华光标题宋_CNKI" w:hAnsi="华光标题宋_CNKI" w:eastAsia="华光标题宋_CNKI"/>
          <w:sz w:val="24"/>
          <w:szCs w:val="24"/>
        </w:rPr>
        <w:t>：服务方案（格式自拟）</w:t>
      </w:r>
    </w:p>
    <w:p>
      <w:pPr>
        <w:snapToGrid w:val="0"/>
        <w:spacing w:line="360" w:lineRule="auto"/>
        <w:ind w:firstLine="480" w:firstLineChars="200"/>
        <w:jc w:val="left"/>
        <w:rPr>
          <w:rFonts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光标题宋_CNKI">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15832"/>
      <w:docPartObj>
        <w:docPartGallery w:val="autotext"/>
      </w:docPartObj>
    </w:sdtPr>
    <w:sdtContent>
      <w:sdt>
        <w:sdtPr>
          <w:id w:val="-1769616900"/>
          <w:docPartObj>
            <w:docPartGallery w:val="autotext"/>
          </w:docPartObj>
        </w:sdtPr>
        <w:sdtContent>
          <w:p>
            <w:pPr>
              <w:pStyle w:val="9"/>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720" w:firstLineChars="40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EA53"/>
    <w:multiLevelType w:val="singleLevel"/>
    <w:tmpl w:val="8251EA53"/>
    <w:lvl w:ilvl="0" w:tentative="0">
      <w:start w:val="1"/>
      <w:numFmt w:val="decimal"/>
      <w:lvlText w:val="%1."/>
      <w:lvlJc w:val="left"/>
      <w:pPr>
        <w:tabs>
          <w:tab w:val="left" w:pos="312"/>
        </w:tabs>
      </w:pPr>
    </w:lvl>
  </w:abstractNum>
  <w:abstractNum w:abstractNumId="1">
    <w:nsid w:val="345141E1"/>
    <w:multiLevelType w:val="multilevel"/>
    <w:tmpl w:val="345141E1"/>
    <w:lvl w:ilvl="0" w:tentative="0">
      <w:start w:val="1"/>
      <w:numFmt w:val="decimal"/>
      <w:lvlText w:val="%1&gt;"/>
      <w:lvlJc w:val="left"/>
      <w:pPr>
        <w:ind w:left="1259" w:hanging="720"/>
      </w:pPr>
      <w:rPr>
        <w:rFonts w:hint="default"/>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abstractNum w:abstractNumId="2">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1994"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mYzY0OTg5YTZkNzQ1ZmM0NDZkZThmN2IzYTJhZDgifQ=="/>
  </w:docVars>
  <w:rsids>
    <w:rsidRoot w:val="002C65FC"/>
    <w:rsid w:val="00004469"/>
    <w:rsid w:val="00011710"/>
    <w:rsid w:val="000150C5"/>
    <w:rsid w:val="00016519"/>
    <w:rsid w:val="00017360"/>
    <w:rsid w:val="00026629"/>
    <w:rsid w:val="0004674D"/>
    <w:rsid w:val="00054AB6"/>
    <w:rsid w:val="000631CA"/>
    <w:rsid w:val="000633FF"/>
    <w:rsid w:val="000662A1"/>
    <w:rsid w:val="00072CBB"/>
    <w:rsid w:val="000966C4"/>
    <w:rsid w:val="000A5BCF"/>
    <w:rsid w:val="000A7065"/>
    <w:rsid w:val="000B1E8E"/>
    <w:rsid w:val="000C1215"/>
    <w:rsid w:val="001062BE"/>
    <w:rsid w:val="00111DEF"/>
    <w:rsid w:val="001229FA"/>
    <w:rsid w:val="00125604"/>
    <w:rsid w:val="001354D2"/>
    <w:rsid w:val="00144C11"/>
    <w:rsid w:val="00150F67"/>
    <w:rsid w:val="001840D7"/>
    <w:rsid w:val="0018709B"/>
    <w:rsid w:val="001A3AD1"/>
    <w:rsid w:val="001A70E3"/>
    <w:rsid w:val="001B0F69"/>
    <w:rsid w:val="001B6CE6"/>
    <w:rsid w:val="001C0C55"/>
    <w:rsid w:val="001C2C28"/>
    <w:rsid w:val="001C5973"/>
    <w:rsid w:val="001D1E04"/>
    <w:rsid w:val="001E3296"/>
    <w:rsid w:val="001E7B6E"/>
    <w:rsid w:val="00212053"/>
    <w:rsid w:val="00220492"/>
    <w:rsid w:val="0023257E"/>
    <w:rsid w:val="00233226"/>
    <w:rsid w:val="00234DDA"/>
    <w:rsid w:val="00240D15"/>
    <w:rsid w:val="00240DFE"/>
    <w:rsid w:val="00293D25"/>
    <w:rsid w:val="00296137"/>
    <w:rsid w:val="002B543C"/>
    <w:rsid w:val="002C65FC"/>
    <w:rsid w:val="002E54AD"/>
    <w:rsid w:val="002F04DE"/>
    <w:rsid w:val="002F3B5F"/>
    <w:rsid w:val="00301535"/>
    <w:rsid w:val="00311A02"/>
    <w:rsid w:val="00321479"/>
    <w:rsid w:val="003268E9"/>
    <w:rsid w:val="003269F5"/>
    <w:rsid w:val="00337AF7"/>
    <w:rsid w:val="003543A6"/>
    <w:rsid w:val="0035603A"/>
    <w:rsid w:val="00364285"/>
    <w:rsid w:val="003663A8"/>
    <w:rsid w:val="003863B1"/>
    <w:rsid w:val="003A468C"/>
    <w:rsid w:val="003C3989"/>
    <w:rsid w:val="003C7771"/>
    <w:rsid w:val="003D16B8"/>
    <w:rsid w:val="003F6C95"/>
    <w:rsid w:val="003F7D58"/>
    <w:rsid w:val="0040305B"/>
    <w:rsid w:val="004068E0"/>
    <w:rsid w:val="0040716A"/>
    <w:rsid w:val="00412341"/>
    <w:rsid w:val="00426216"/>
    <w:rsid w:val="00436EC0"/>
    <w:rsid w:val="00440F49"/>
    <w:rsid w:val="004443A5"/>
    <w:rsid w:val="004577CC"/>
    <w:rsid w:val="00463F1C"/>
    <w:rsid w:val="004943A8"/>
    <w:rsid w:val="004A57B1"/>
    <w:rsid w:val="004B63EC"/>
    <w:rsid w:val="004B7AF2"/>
    <w:rsid w:val="004C745B"/>
    <w:rsid w:val="004E2987"/>
    <w:rsid w:val="0050569F"/>
    <w:rsid w:val="005108F5"/>
    <w:rsid w:val="00511968"/>
    <w:rsid w:val="00525C9D"/>
    <w:rsid w:val="0053081B"/>
    <w:rsid w:val="00532446"/>
    <w:rsid w:val="00536EC1"/>
    <w:rsid w:val="0057736B"/>
    <w:rsid w:val="005835A9"/>
    <w:rsid w:val="005A51C9"/>
    <w:rsid w:val="005A707C"/>
    <w:rsid w:val="005A7479"/>
    <w:rsid w:val="005B76AC"/>
    <w:rsid w:val="005C65CF"/>
    <w:rsid w:val="005D7CE2"/>
    <w:rsid w:val="005E04EC"/>
    <w:rsid w:val="005F2363"/>
    <w:rsid w:val="00604C12"/>
    <w:rsid w:val="0062195F"/>
    <w:rsid w:val="00621D52"/>
    <w:rsid w:val="00622BA2"/>
    <w:rsid w:val="006408A2"/>
    <w:rsid w:val="00667803"/>
    <w:rsid w:val="00682725"/>
    <w:rsid w:val="00692BE5"/>
    <w:rsid w:val="006A1727"/>
    <w:rsid w:val="006C47B6"/>
    <w:rsid w:val="006F0C33"/>
    <w:rsid w:val="00713F40"/>
    <w:rsid w:val="00737028"/>
    <w:rsid w:val="00776B79"/>
    <w:rsid w:val="00780428"/>
    <w:rsid w:val="00791EBE"/>
    <w:rsid w:val="007C1449"/>
    <w:rsid w:val="007C3FFB"/>
    <w:rsid w:val="007C6321"/>
    <w:rsid w:val="007C6F80"/>
    <w:rsid w:val="007C70C1"/>
    <w:rsid w:val="007D31EC"/>
    <w:rsid w:val="007D464D"/>
    <w:rsid w:val="007E244C"/>
    <w:rsid w:val="007F0AB7"/>
    <w:rsid w:val="008176F7"/>
    <w:rsid w:val="008264C1"/>
    <w:rsid w:val="00830400"/>
    <w:rsid w:val="008375EB"/>
    <w:rsid w:val="008464E7"/>
    <w:rsid w:val="00856810"/>
    <w:rsid w:val="00880AB6"/>
    <w:rsid w:val="00894BF0"/>
    <w:rsid w:val="008A648E"/>
    <w:rsid w:val="008B2643"/>
    <w:rsid w:val="008B5408"/>
    <w:rsid w:val="008B660E"/>
    <w:rsid w:val="008B6CA3"/>
    <w:rsid w:val="009112E9"/>
    <w:rsid w:val="009243D1"/>
    <w:rsid w:val="009354EE"/>
    <w:rsid w:val="00940E4F"/>
    <w:rsid w:val="00952CE7"/>
    <w:rsid w:val="0095749D"/>
    <w:rsid w:val="00961864"/>
    <w:rsid w:val="0097199F"/>
    <w:rsid w:val="009755BC"/>
    <w:rsid w:val="009761A1"/>
    <w:rsid w:val="009850E8"/>
    <w:rsid w:val="00991E75"/>
    <w:rsid w:val="009A48D5"/>
    <w:rsid w:val="009A685F"/>
    <w:rsid w:val="009B0F5A"/>
    <w:rsid w:val="009B2215"/>
    <w:rsid w:val="009E21D5"/>
    <w:rsid w:val="009F1601"/>
    <w:rsid w:val="009F1C8C"/>
    <w:rsid w:val="00A06FC0"/>
    <w:rsid w:val="00A34562"/>
    <w:rsid w:val="00A451B9"/>
    <w:rsid w:val="00A55408"/>
    <w:rsid w:val="00A81CF1"/>
    <w:rsid w:val="00A85B1B"/>
    <w:rsid w:val="00AA2DE0"/>
    <w:rsid w:val="00AC73FA"/>
    <w:rsid w:val="00AD3B37"/>
    <w:rsid w:val="00AF33B2"/>
    <w:rsid w:val="00AF5AD9"/>
    <w:rsid w:val="00B000EB"/>
    <w:rsid w:val="00B00916"/>
    <w:rsid w:val="00B05C7B"/>
    <w:rsid w:val="00B24BD6"/>
    <w:rsid w:val="00B32A08"/>
    <w:rsid w:val="00B34BC5"/>
    <w:rsid w:val="00B647F5"/>
    <w:rsid w:val="00B66594"/>
    <w:rsid w:val="00B71215"/>
    <w:rsid w:val="00B75A97"/>
    <w:rsid w:val="00B75DCE"/>
    <w:rsid w:val="00B86350"/>
    <w:rsid w:val="00BB0133"/>
    <w:rsid w:val="00BB7443"/>
    <w:rsid w:val="00BF0A10"/>
    <w:rsid w:val="00C01BC3"/>
    <w:rsid w:val="00C20F90"/>
    <w:rsid w:val="00C2473E"/>
    <w:rsid w:val="00C2788F"/>
    <w:rsid w:val="00C312F0"/>
    <w:rsid w:val="00C353C9"/>
    <w:rsid w:val="00C37B4E"/>
    <w:rsid w:val="00C42852"/>
    <w:rsid w:val="00C6738B"/>
    <w:rsid w:val="00C93BBB"/>
    <w:rsid w:val="00CC2E0C"/>
    <w:rsid w:val="00CD5068"/>
    <w:rsid w:val="00CE0F41"/>
    <w:rsid w:val="00CE7D4A"/>
    <w:rsid w:val="00D2045A"/>
    <w:rsid w:val="00D235C0"/>
    <w:rsid w:val="00D26EEE"/>
    <w:rsid w:val="00D27EE5"/>
    <w:rsid w:val="00D408D0"/>
    <w:rsid w:val="00D42407"/>
    <w:rsid w:val="00D4481B"/>
    <w:rsid w:val="00D44C2D"/>
    <w:rsid w:val="00D52C86"/>
    <w:rsid w:val="00D53CAF"/>
    <w:rsid w:val="00D5658F"/>
    <w:rsid w:val="00D62C7A"/>
    <w:rsid w:val="00D752E3"/>
    <w:rsid w:val="00D86135"/>
    <w:rsid w:val="00D87089"/>
    <w:rsid w:val="00D90FC5"/>
    <w:rsid w:val="00DA1563"/>
    <w:rsid w:val="00DC0355"/>
    <w:rsid w:val="00DD7DE4"/>
    <w:rsid w:val="00DE4400"/>
    <w:rsid w:val="00DF477A"/>
    <w:rsid w:val="00E036AF"/>
    <w:rsid w:val="00E26BD5"/>
    <w:rsid w:val="00E309B5"/>
    <w:rsid w:val="00E52427"/>
    <w:rsid w:val="00E91015"/>
    <w:rsid w:val="00EA20DA"/>
    <w:rsid w:val="00EC5BF9"/>
    <w:rsid w:val="00EE0002"/>
    <w:rsid w:val="00EE51FF"/>
    <w:rsid w:val="00EF0E65"/>
    <w:rsid w:val="00F2125A"/>
    <w:rsid w:val="00F2258F"/>
    <w:rsid w:val="00F226BB"/>
    <w:rsid w:val="00F278CB"/>
    <w:rsid w:val="00F82BA3"/>
    <w:rsid w:val="00F92851"/>
    <w:rsid w:val="00FE3776"/>
    <w:rsid w:val="00FE71A6"/>
    <w:rsid w:val="0FAF15A3"/>
    <w:rsid w:val="1DEA5293"/>
    <w:rsid w:val="28A70F8F"/>
    <w:rsid w:val="31E5776A"/>
    <w:rsid w:val="39F03406"/>
    <w:rsid w:val="40297A82"/>
    <w:rsid w:val="4C870899"/>
    <w:rsid w:val="4ED331E9"/>
    <w:rsid w:val="64882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kern w:val="44"/>
      <w:sz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ody Text Indent"/>
    <w:basedOn w:val="1"/>
    <w:link w:val="22"/>
    <w:qFormat/>
    <w:uiPriority w:val="0"/>
    <w:pPr>
      <w:spacing w:line="360" w:lineRule="auto"/>
      <w:ind w:firstLine="552" w:firstLineChars="230"/>
    </w:pPr>
    <w:rPr>
      <w:rFonts w:ascii="Arial" w:hAnsi="Arial" w:eastAsia="宋体" w:cs="Times New Roman"/>
      <w:sz w:val="24"/>
      <w:szCs w:val="20"/>
    </w:rPr>
  </w:style>
  <w:style w:type="paragraph" w:styleId="6">
    <w:name w:val="Plain Text"/>
    <w:basedOn w:val="1"/>
    <w:link w:val="24"/>
    <w:semiHidden/>
    <w:unhideWhenUsed/>
    <w:qFormat/>
    <w:uiPriority w:val="99"/>
    <w:rPr>
      <w:rFonts w:hAnsi="Courier New" w:cs="Courier New" w:asciiTheme="minorEastAsia"/>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6"/>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1"/>
    <w:semiHidden/>
    <w:unhideWhenUsed/>
    <w:qFormat/>
    <w:uiPriority w:val="99"/>
    <w:rPr>
      <w:b/>
      <w:bCs/>
    </w:rPr>
  </w:style>
  <w:style w:type="character" w:styleId="15">
    <w:name w:val="page number"/>
    <w:basedOn w:val="14"/>
    <w:qFormat/>
    <w:uiPriority w:val="0"/>
  </w:style>
  <w:style w:type="character" w:styleId="16">
    <w:name w:val="Hyperlink"/>
    <w:basedOn w:val="14"/>
    <w:unhideWhenUsed/>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semiHidden/>
    <w:uiPriority w:val="99"/>
    <w:rPr>
      <w:sz w:val="18"/>
      <w:szCs w:val="18"/>
    </w:rPr>
  </w:style>
  <w:style w:type="character" w:customStyle="1" w:styleId="19">
    <w:name w:val="页眉 字符1"/>
    <w:link w:val="10"/>
    <w:qFormat/>
    <w:uiPriority w:val="99"/>
    <w:rPr>
      <w:rFonts w:ascii="Times New Roman" w:hAnsi="Times New Roman" w:eastAsia="宋体" w:cs="Times New Roman"/>
      <w:sz w:val="18"/>
      <w:szCs w:val="20"/>
    </w:rPr>
  </w:style>
  <w:style w:type="character" w:customStyle="1" w:styleId="20">
    <w:name w:val="批注文字 字符"/>
    <w:basedOn w:val="14"/>
    <w:link w:val="4"/>
    <w:semiHidden/>
    <w:qFormat/>
    <w:uiPriority w:val="99"/>
  </w:style>
  <w:style w:type="character" w:customStyle="1" w:styleId="21">
    <w:name w:val="批注主题 字符"/>
    <w:basedOn w:val="20"/>
    <w:link w:val="12"/>
    <w:semiHidden/>
    <w:uiPriority w:val="99"/>
    <w:rPr>
      <w:b/>
      <w:bCs/>
    </w:rPr>
  </w:style>
  <w:style w:type="character" w:customStyle="1" w:styleId="22">
    <w:name w:val="正文文本缩进 字符"/>
    <w:basedOn w:val="14"/>
    <w:link w:val="5"/>
    <w:uiPriority w:val="0"/>
    <w:rPr>
      <w:rFonts w:ascii="Arial" w:hAnsi="Arial" w:eastAsia="宋体" w:cs="Times New Roman"/>
      <w:sz w:val="24"/>
      <w:szCs w:val="20"/>
    </w:rPr>
  </w:style>
  <w:style w:type="paragraph" w:customStyle="1" w:styleId="23">
    <w:name w:val="样式3"/>
    <w:basedOn w:val="6"/>
    <w:qFormat/>
    <w:uiPriority w:val="0"/>
    <w:pPr>
      <w:spacing w:line="0" w:lineRule="atLeast"/>
      <w:outlineLvl w:val="0"/>
    </w:pPr>
    <w:rPr>
      <w:rFonts w:ascii="宋体" w:eastAsia="宋体" w:cs="Times New Roman"/>
      <w:sz w:val="28"/>
      <w:szCs w:val="20"/>
    </w:rPr>
  </w:style>
  <w:style w:type="character" w:customStyle="1" w:styleId="24">
    <w:name w:val="纯文本 字符"/>
    <w:basedOn w:val="14"/>
    <w:link w:val="6"/>
    <w:semiHidden/>
    <w:qFormat/>
    <w:uiPriority w:val="99"/>
    <w:rPr>
      <w:rFonts w:hAnsi="Courier New" w:cs="Courier New" w:asciiTheme="minorEastAsia"/>
    </w:rPr>
  </w:style>
  <w:style w:type="character" w:customStyle="1" w:styleId="25">
    <w:name w:val="页脚 字符"/>
    <w:basedOn w:val="14"/>
    <w:link w:val="9"/>
    <w:qFormat/>
    <w:uiPriority w:val="99"/>
    <w:rPr>
      <w:sz w:val="18"/>
      <w:szCs w:val="18"/>
    </w:rPr>
  </w:style>
  <w:style w:type="character" w:customStyle="1" w:styleId="26">
    <w:name w:val="批注框文本 字符1"/>
    <w:link w:val="8"/>
    <w:qFormat/>
    <w:uiPriority w:val="0"/>
    <w:rPr>
      <w:sz w:val="18"/>
      <w:szCs w:val="18"/>
    </w:rPr>
  </w:style>
  <w:style w:type="character" w:customStyle="1" w:styleId="27">
    <w:name w:val="批注框文本 字符"/>
    <w:basedOn w:val="14"/>
    <w:autoRedefine/>
    <w:semiHidden/>
    <w:qFormat/>
    <w:uiPriority w:val="99"/>
    <w:rPr>
      <w:sz w:val="18"/>
      <w:szCs w:val="18"/>
    </w:rPr>
  </w:style>
  <w:style w:type="character" w:customStyle="1" w:styleId="28">
    <w:name w:val="日期 字符"/>
    <w:basedOn w:val="14"/>
    <w:link w:val="7"/>
    <w:autoRedefine/>
    <w:semiHidden/>
    <w:qFormat/>
    <w:uiPriority w:val="99"/>
  </w:style>
  <w:style w:type="table" w:customStyle="1" w:styleId="29">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styleId="30">
    <w:name w:val="List Paragraph"/>
    <w:basedOn w:val="1"/>
    <w:autoRedefine/>
    <w:qFormat/>
    <w:uiPriority w:val="34"/>
    <w:pPr>
      <w:ind w:firstLine="420" w:firstLineChars="200"/>
    </w:pPr>
  </w:style>
  <w:style w:type="character" w:customStyle="1" w:styleId="31">
    <w:name w:val="Unresolved Mention"/>
    <w:basedOn w:val="14"/>
    <w:autoRedefine/>
    <w:semiHidden/>
    <w:unhideWhenUsed/>
    <w:qFormat/>
    <w:uiPriority w:val="99"/>
    <w:rPr>
      <w:color w:val="605E5C"/>
      <w:shd w:val="clear" w:color="auto" w:fill="E1DFDD"/>
    </w:rPr>
  </w:style>
  <w:style w:type="paragraph" w:customStyle="1" w:styleId="32">
    <w:name w:val="列出段落"/>
    <w:basedOn w:val="1"/>
    <w:autoRedefine/>
    <w:qFormat/>
    <w:uiPriority w:val="34"/>
    <w:pPr>
      <w:ind w:firstLine="420" w:firstLineChars="200"/>
    </w:pPr>
  </w:style>
  <w:style w:type="paragraph" w:customStyle="1" w:styleId="33">
    <w:name w:val="msolistparagraph"/>
    <w:basedOn w:val="1"/>
    <w:autoRedefine/>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20</Pages>
  <Words>4132</Words>
  <Characters>4620</Characters>
  <Lines>28</Lines>
  <Paragraphs>7</Paragraphs>
  <TotalTime>34</TotalTime>
  <ScaleCrop>false</ScaleCrop>
  <LinksUpToDate>false</LinksUpToDate>
  <CharactersWithSpaces>5115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2024-04-26T07:33:00Z</dcterms:created>
  <dc:creator>钱 卉卉</dc:creator>
  <cp:lastModifiedBy>小悟</cp:lastModifiedBy>
  <cp:lastPrinted>2022-03-15T01:05:00Z</cp:lastPrinted>
  <dcterms:modified xsi:type="dcterms:W3CDTF">2024-05-31T02:25:37Z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2EDA19C48E674111967280D1FF145157_13</vt:lpwstr>
  </property>
</Properties>
</file>