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96"/>
        <w:gridCol w:w="167"/>
        <w:gridCol w:w="1451"/>
        <w:gridCol w:w="392"/>
        <w:gridCol w:w="1503"/>
        <w:gridCol w:w="56"/>
        <w:gridCol w:w="1559"/>
        <w:gridCol w:w="772"/>
        <w:gridCol w:w="362"/>
        <w:gridCol w:w="204"/>
        <w:gridCol w:w="505"/>
        <w:gridCol w:w="91"/>
        <w:gridCol w:w="1043"/>
        <w:gridCol w:w="843"/>
      </w:tblGrid>
      <w:tr>
        <w:trPr>
          <w:trHeight w:val="440" w:hRule="exact"/>
          <w:jc w:val="center"/>
        </w:trPr>
        <w:tc>
          <w:tcPr>
            <w:tcW w:w="97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rPr>
          <w:trHeight w:val="194" w:hRule="atLeast"/>
          <w:jc w:val="center"/>
        </w:trPr>
        <w:tc>
          <w:tcPr>
            <w:tcW w:w="97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（2023年度）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7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拆除天管委食堂、国旗护卫队和武警食堂环境整治项目</w:t>
            </w:r>
          </w:p>
        </w:tc>
      </w:tr>
      <w:tr>
        <w:trPr>
          <w:trHeight w:val="583" w:hRule="exact"/>
          <w:jc w:val="center"/>
        </w:trPr>
        <w:tc>
          <w:tcPr>
            <w:tcW w:w="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9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北京市公园管理中心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6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北京市中山公园管理处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负责人</w:t>
            </w:r>
          </w:p>
        </w:tc>
        <w:tc>
          <w:tcPr>
            <w:tcW w:w="49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张京利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联系电话</w:t>
            </w:r>
          </w:p>
        </w:tc>
        <w:tc>
          <w:tcPr>
            <w:tcW w:w="26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66052772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rPr>
          <w:trHeight w:val="558" w:hRule="exact"/>
          <w:jc w:val="center"/>
        </w:trPr>
        <w:tc>
          <w:tcPr>
            <w:tcW w:w="9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374.145581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374.145581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211.572542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57%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374.145581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374.145581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211.572542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    上年结转资金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rPr>
          <w:trHeight w:val="291" w:hRule="exact"/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8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rPr>
          <w:trHeight w:val="1949" w:hRule="exac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采用传统做法对现有歇山建筑进行挑顶修缮，局部更换糟朽椽望及上架大木构件，拆除室内后砌隔墙，重做室内电气、给、排水。拆除后做现代建筑，地面恢复硬地铺装及绿地。武警需在2023年3月底前完成腾退工作，项目方可在2023年11月30日前完成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武警于5月20日完成腾退。腾退后完成拆除房屋899.77㎡，院墙24.3㎡；院墙砌筑28.75m，广场透水砖铺装168.13㎡，新砌筑暖气沟50.87m，敷设暖气管线151.74m、自来水管线42.55m、喷灌管线410.7m，种植麦冬草933.19㎡，燃气切线1处等。</w:t>
            </w:r>
          </w:p>
        </w:tc>
      </w:tr>
      <w:tr>
        <w:trPr>
          <w:trHeight w:val="517" w:hRule="exact"/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rPr>
          <w:trHeight w:val="423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6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指标1：修缮七开间歇山建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筑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127.49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平方米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根据北京市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文物局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要求，该项目拆分为《拆除天管委食堂、国旗护卫队和武警食堂环境整治项目》和《社稷坛内坛东北侧北七间房修缮工程》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2023年11月30日前北京市文物局未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方案进行批复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，2024年4月30日收到北京市文物局批复，暂不同意该方案实施。</w:t>
            </w:r>
          </w:p>
        </w:tc>
      </w:tr>
      <w:tr>
        <w:trPr>
          <w:trHeight w:val="101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指标2：拆除建筑群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＝916.05平方米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924.07</w:t>
            </w:r>
          </w:p>
        </w:tc>
        <w:tc>
          <w:tcPr>
            <w:tcW w:w="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设计勘查存在误差，以后增加测量的准确性</w:t>
            </w:r>
          </w:p>
        </w:tc>
      </w:tr>
      <w:tr>
        <w:trPr>
          <w:trHeight w:val="3006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指标3：新种植观赏树种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28棵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《拆除天管委食堂、国旗护卫队和武警食堂环境整治项目》京文物〔2023〕709号复函中第三条：调整绿化景观设计，绿化以植草为主，不得增种其他乔木灌木，取消弯曲步道、景观小品，减少地面硬化面积，墙体宜为实墙，不饰漏窗，延续坛庙建筑庄严肃穆氛围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wordWrap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rPr>
          <w:trHeight w:val="718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指标4：恢复绿地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＝1043.38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㎡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933.19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设计勘查存在误差，以后增加测量的准确性</w:t>
            </w:r>
          </w:p>
        </w:tc>
      </w:tr>
      <w:tr>
        <w:trPr>
          <w:trHeight w:val="150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指标5：修缮院墙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＝41.8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米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28.75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2.8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根据《拆除天管委食堂、国旗护卫队和武警食堂环境整治项目》京文物〔2023〕709号复函意见及实际情况调整</w:t>
            </w:r>
          </w:p>
        </w:tc>
      </w:tr>
      <w:tr>
        <w:trPr>
          <w:trHeight w:val="2968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指标6：新做硬地铺装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＝303.5平方米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168.13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2.2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《拆除天管委食堂、国旗护卫队和武警食堂环境整治项目》京文物〔2023〕709号复函中第三条：调整绿化景观设计，绿化以植草为主，不得增种其他乔木灌木，取消弯曲步道、景观小品，减少地面硬化面积，墙体宜为实墙，不饰漏窗，延续坛庙建筑庄严肃穆氛围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rPr>
          <w:trHeight w:val="4717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时效指标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指标1：完成采购程序时间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按照政府采购相关管理程序进行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按照政府采购相关管理程序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在规定时间内完成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根据北京市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文物局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要求，该项目拆分为《拆除天管委食堂、国旗护卫队和武警食堂环境整治项目》和《社稷坛内坛东北侧北七间房修缮工程》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2023年11月30日前北京市文物局未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方案进行批复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，2024年4月30日收到北京市文物局批复，暂不同意该方案实施。《拆除天管委食堂、国旗护卫队和武警食堂环境整治项目》按照政府采购相关管理程序在规定时间内完成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。</w:t>
            </w:r>
          </w:p>
        </w:tc>
      </w:tr>
      <w:tr>
        <w:trPr>
          <w:trHeight w:val="3526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：项目实施周期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武警需在2023年3月底前完成腾退工作，项目方可在2023年11月30日前完成。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43"/>
              </w:tabs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《拆除天管委食堂、国旗护卫队和武警食堂环境整治项目》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6月30日竣工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根据北京市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文物局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要求，该项目拆分为《拆除天管委食堂、国旗护卫队和武警食堂环境整治项目》和《社稷坛内坛东北侧北七间房修缮工程》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2023年11月30日前北京市文物局未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方案进行批复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，2024年4月30日收到北京市文物局批复，暂不同意该方案实施。</w:t>
            </w:r>
          </w:p>
        </w:tc>
      </w:tr>
      <w:tr>
        <w:trPr>
          <w:trHeight w:val="4381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根据资金下达情况，按设计方案工程进度执行。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按照设计方案、施工图按进度进行施工。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5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按照设计方案、施工图按进度进行施工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根据北京市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文物局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要求，该项目拆分为《拆除天管委食堂、国旗护卫队和武警食堂环境整治项目》和《社稷坛内坛东北侧北七间房修缮工程》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2023年11月30日前北京市文物局未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方案进行批复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，2024年4月30日收到北京市文物局批复，暂不同意该方案实施。《拆除天管委食堂、国旗护卫队和武警食堂环境整治项目》已按设计方案、施工图完成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。</w:t>
            </w:r>
          </w:p>
        </w:tc>
      </w:tr>
      <w:tr>
        <w:trPr>
          <w:trHeight w:val="3492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质量指标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解决屋面漏水、木构件糟朽、墙体外闪、墙面抹灰空鼓、脱落及地仗、油饰开裂、脱落等问题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合格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未实施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根据北京市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文物局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要求，该项目拆分为《拆除天管委食堂、国旗护卫队和武警食堂环境整治项目》和《社稷坛内坛东北侧北七间房修缮工程》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2023年11月30日前北京市文物局未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《社稷坛内坛东北侧北七间房修缮工程》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方案进行批复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highlight w:val="none"/>
                <w:lang w:val="en-US" w:eastAsia="zh-CN"/>
              </w:rPr>
              <w:t>，2024年4月30日收到北京市文物局批复，暂不同意该方案实施。</w:t>
            </w:r>
          </w:p>
        </w:tc>
      </w:tr>
      <w:tr>
        <w:trPr>
          <w:trHeight w:val="1968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指标1：提升文化知名度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提高中山公园文化旅游的知名度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助力中轴线申遗，提升社稷坛整体景观环境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3127" w:hRule="exact"/>
          <w:jc w:val="center"/>
        </w:trPr>
        <w:tc>
          <w:tcPr>
            <w:tcW w:w="3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打造样板工程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以点带面，提升广大人民群众文物保护的积极性，并使传统文化得到传承和发展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恢复了社稷坛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坛整体风貌和历史景观，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提升广大人民群众文物保护的积极性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3566" w:hRule="exact"/>
          <w:jc w:val="center"/>
        </w:trPr>
        <w:tc>
          <w:tcPr>
            <w:tcW w:w="3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可持续影响指标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以此项目为契机，加强园内文物的保护工作，积累管理、施工经验，为园内其余文物本体的保护利用做好基础工作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提升公园整体景观效果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提升公园整体景观效果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队伍得到锻炼，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积累管理、施工经验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，提升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文物日常管理水平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1550" w:hRule="exact"/>
          <w:jc w:val="center"/>
        </w:trPr>
        <w:tc>
          <w:tcPr>
            <w:tcW w:w="3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满意度指标</w:t>
            </w: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服务对象满意度指标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1：职工对工作环境满意度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1233" w:hRule="exact"/>
          <w:jc w:val="center"/>
        </w:trPr>
        <w:tc>
          <w:tcPr>
            <w:tcW w:w="3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2：游客对社稷坛内坛环境满意度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1493" w:hRule="exact"/>
          <w:jc w:val="center"/>
        </w:trPr>
        <w:tc>
          <w:tcPr>
            <w:tcW w:w="3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6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社会成本指标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按照相关资金管理规定及方案批复要求，控制成本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按照批复要求控制成本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1334" w:hRule="exact"/>
          <w:jc w:val="center"/>
        </w:trPr>
        <w:tc>
          <w:tcPr>
            <w:tcW w:w="3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经济成本指标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1：项目预算总额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≤450万元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448" w:hRule="exact"/>
          <w:jc w:val="center"/>
        </w:trPr>
        <w:tc>
          <w:tcPr>
            <w:tcW w:w="66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93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pStyle w:val="4"/>
        <w:spacing w:before="0" w:after="0" w:line="240" w:lineRule="auto"/>
        <w:rPr>
          <w:rFonts w:hint="eastAsia" w:ascii="宋体" w:hAnsi="宋体" w:eastAsia="宋体" w:cs="宋体"/>
          <w:b w:val="0"/>
          <w:kern w:val="0"/>
          <w:sz w:val="16"/>
          <w:szCs w:val="16"/>
          <w:lang w:val="en-US" w:eastAsia="zh-CN" w:bidi="ar-SA"/>
        </w:rPr>
      </w:pPr>
    </w:p>
    <w:sectPr>
      <w:footerReference r:id="rId4" w:type="default"/>
      <w:footerReference r:id="rId5" w:type="even"/>
      <w:pgSz w:w="11906" w:h="16838"/>
      <w:pgMar w:top="1701" w:right="1191" w:bottom="1701" w:left="1191" w:header="737" w:footer="851" w:gutter="0"/>
      <w:cols w:space="720" w:num="1"/>
      <w:docGrid w:type="lines"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framePr w:wrap="around" w:hAnchor="margin" w:vAnchor="text" w:xAlign="outside" w:y="1"/>
      <w:jc w:val="right"/>
      <w:rPr>
        <w:rStyle w:val="22"/>
        <w:rFonts w:hint="eastAsia"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fldChar w:fldCharType="begin"/>
    </w:r>
    <w:r>
      <w:rPr>
        <w:rStyle w:val="22"/>
        <w:rFonts w:hint="eastAsia" w:ascii="宋体" w:hAnsi="宋体"/>
        <w:sz w:val="28"/>
        <w:szCs w:val="28"/>
      </w:rPr>
      <w:instrText xml:space="preserve">PAGE 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Style w:val="22"/>
        <w:rFonts w:ascii="宋体" w:hAnsi="宋体"/>
        <w:sz w:val="28"/>
        <w:szCs w:val="28"/>
      </w:rPr>
      <w:t>1</w:t>
    </w:r>
    <w:r>
      <w:rPr>
        <w:rFonts w:hint="eastAsia" w:ascii="宋体" w:hAnsi="宋体"/>
        <w:sz w:val="28"/>
        <w:szCs w:val="28"/>
      </w:rPr>
      <w:fldChar w:fldCharType="end"/>
    </w:r>
  </w:p>
  <w:p>
    <w:pPr>
      <w:pStyle w:val="1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framePr w:wrap="around" w:hAnchor="margin" w:vAnchor="text" w:xAlign="outside" w:y="1"/>
      <w:rPr>
        <w:rStyle w:val="22"/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22"/>
        <w:rFonts w:hint="eastAsia" w:ascii="仿宋_GB2312" w:eastAsia="仿宋_GB2312"/>
        <w:sz w:val="28"/>
        <w:szCs w:val="28"/>
      </w:rPr>
      <w:instrText xml:space="preserve">PAGE 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22"/>
        <w:rFonts w:ascii="仿宋_GB2312" w:eastAsia="仿宋_GB2312"/>
        <w:sz w:val="28"/>
        <w:szCs w:val="28"/>
      </w:rPr>
      <w:t>- 36 -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1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0"/>
  <w:bordersDoNotSurroundFooter w:val="0"/>
  <w:defaultTabStop w:val="420"/>
  <w:drawingGridHorizontalSpacing w:val="105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5"/>
    <w:pPr>
      <w:keepNext/>
      <w:keepLines/>
      <w:spacing w:before="260" w:after="260" w:line="413" w:lineRule="auto"/>
      <w:outlineLvl w:val="1"/>
    </w:pPr>
    <w:rPr>
      <w:rFonts w:ascii="Arial" w:hAnsi="Arial" w:eastAsia="黑体" w:cs="Times New Roman"/>
      <w:b/>
      <w:sz w:val="32"/>
      <w:szCs w:val="24"/>
    </w:rPr>
  </w:style>
  <w:style w:type="character" w:default="1" w:styleId="16">
    <w:name w:val="Default Paragraph Font"/>
  </w:style>
  <w:style w:type="character" w:customStyle="1" w:styleId="3">
    <w:name w:val="标题 1 Char"/>
    <w:link w:val="2"/>
    <w:semiHidden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5">
    <w:name w:val="标题 2 Char"/>
    <w:link w:val="4"/>
    <w:semiHidden/>
    <w:rPr>
      <w:rFonts w:ascii="Arial" w:hAnsi="Arial" w:eastAsia="黑体" w:cs="Times New Roman"/>
      <w:b/>
      <w:sz w:val="32"/>
      <w:szCs w:val="24"/>
    </w:rPr>
  </w:style>
  <w:style w:type="character" w:customStyle="1" w:styleId="6">
    <w:name w:val="文档结构图 Char"/>
    <w:link w:val="7"/>
    <w:semiHidden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7">
    <w:name w:val="Document Map"/>
    <w:basedOn w:val="1"/>
    <w:link w:val="6"/>
    <w:pPr>
      <w:shd w:val="clear" w:color="auto" w:fill="000080"/>
    </w:pPr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">
    <w:name w:val="正文文本缩进 Char"/>
    <w:link w:val="9"/>
    <w:semiHidden/>
    <w:rPr>
      <w:rFonts w:ascii="仿宋_GB2312" w:hAnsi="Times New Roman" w:eastAsia="仿宋_GB2312" w:cs="Times New Roman"/>
      <w:sz w:val="32"/>
      <w:szCs w:val="32"/>
    </w:rPr>
  </w:style>
  <w:style w:type="paragraph" w:customStyle="1" w:styleId="9">
    <w:name w:val="Body Text Indent"/>
    <w:basedOn w:val="1"/>
    <w:link w:val="8"/>
    <w:pPr>
      <w:ind w:firstLine="645"/>
    </w:pPr>
    <w:rPr>
      <w:rFonts w:ascii="仿宋_GB2312" w:hAnsi="Times New Roman" w:eastAsia="仿宋_GB2312" w:cs="Times New Roman"/>
      <w:sz w:val="32"/>
      <w:szCs w:val="32"/>
    </w:rPr>
  </w:style>
  <w:style w:type="character" w:customStyle="1" w:styleId="10">
    <w:name w:val="日期 Char"/>
    <w:link w:val="11"/>
    <w:semiHidden/>
    <w:rPr>
      <w:rFonts w:ascii="Times New Roman" w:hAnsi="Times New Roman" w:eastAsia="楷体_GB2312" w:cs="Times New Roman"/>
      <w:sz w:val="32"/>
      <w:szCs w:val="20"/>
    </w:rPr>
  </w:style>
  <w:style w:type="paragraph" w:customStyle="1" w:styleId="11">
    <w:name w:val="Date"/>
    <w:basedOn w:val="1"/>
    <w:next w:val="1"/>
    <w:link w:val="10"/>
    <w:rPr>
      <w:rFonts w:ascii="Times New Roman" w:hAnsi="Times New Roman" w:eastAsia="楷体_GB2312" w:cs="Times New Roman"/>
      <w:sz w:val="32"/>
      <w:szCs w:val="20"/>
    </w:rPr>
  </w:style>
  <w:style w:type="paragraph" w:styleId="12">
    <w:name w:val="footer"/>
    <w:basedOn w:val="1"/>
    <w:link w:val="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3">
    <w:name w:val="页脚 Char"/>
    <w:link w:val="12"/>
    <w:semiHidden/>
    <w:rPr>
      <w:sz w:val="18"/>
      <w:szCs w:val="18"/>
    </w:rPr>
  </w:style>
  <w:style w:type="paragraph" w:styleId="14">
    <w:name w:val="header"/>
    <w:basedOn w:val="1"/>
    <w:link w:val="15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4"/>
    <w:semiHidden/>
    <w:rPr>
      <w:sz w:val="18"/>
      <w:szCs w:val="18"/>
    </w:rPr>
  </w:style>
  <w:style w:type="paragraph" w:customStyle="1" w:styleId="17">
    <w:name w:val="批注框文本 Char Char"/>
    <w:basedOn w:val="1"/>
    <w:link w:val="21"/>
    <w:rPr>
      <w:rFonts w:ascii="Times New Roman" w:hAnsi="Times New Roman" w:eastAsia="宋体" w:cs="Times New Roman"/>
      <w:sz w:val="18"/>
      <w:szCs w:val="18"/>
    </w:rPr>
  </w:style>
  <w:style w:type="paragraph" w:customStyle="1" w:styleId="18">
    <w:name w:val="Normal (Web)"/>
    <w:basedOn w:val="1"/>
    <w:pPr>
      <w:widowControl/>
      <w:spacing w:line="450" w:lineRule="atLeast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19">
    <w:name w:val="列出段落1"/>
    <w:basedOn w:val="1"/>
    <w:pPr>
      <w:ind w:firstLine="420" w:firstLineChars="200"/>
    </w:pPr>
    <w:rPr>
      <w:rFonts w:ascii="Calibri" w:hAnsi="Calibri" w:cs="黑体"/>
      <w:szCs w:val="22"/>
    </w:rPr>
  </w:style>
  <w:style w:type="paragraph" w:customStyle="1" w:styleId="20">
    <w:name w:val="List Paragraph"/>
    <w:basedOn w:val="1"/>
    <w:pPr>
      <w:ind w:firstLine="420" w:firstLineChars="200"/>
    </w:pPr>
    <w:rPr>
      <w:rFonts w:ascii="Calibri" w:hAnsi="Calibri"/>
      <w:szCs w:val="22"/>
    </w:rPr>
  </w:style>
  <w:style w:type="character" w:customStyle="1" w:styleId="21">
    <w:name w:val="批注框文本 Char Char Char Char"/>
    <w:link w:val="17"/>
    <w:semiHidden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page number"/>
  </w:style>
  <w:style w:type="character" w:customStyle="1" w:styleId="23">
    <w:name w:val="NormalCharacter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2095</Words>
  <Characters>2347</Characters>
  <Lines>5</Lines>
  <Paragraphs>1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2020-11-03T01:17:00Z</dcterms:created>
  <dc:creator>信息发布员</dc:creator>
  <cp:lastModifiedBy>HP</cp:lastModifiedBy>
  <cp:lastPrinted>2024-05-09T05:22:00Z</cp:lastPrinted>
  <dcterms:modified xsi:type="dcterms:W3CDTF">2024-05-12T01:23:59Z</dcterms:modified>
  <dc:title>项目支出绩效自评表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D6D5EE28CD714A3FB50F25D71A8061F0</vt:lpwstr>
  </property>
</Properties>
</file>