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"/>
        <w:gridCol w:w="396"/>
        <w:gridCol w:w="167"/>
        <w:gridCol w:w="1451"/>
        <w:gridCol w:w="392"/>
        <w:gridCol w:w="1503"/>
        <w:gridCol w:w="56"/>
        <w:gridCol w:w="1295"/>
        <w:gridCol w:w="1036"/>
        <w:gridCol w:w="362"/>
        <w:gridCol w:w="204"/>
        <w:gridCol w:w="505"/>
        <w:gridCol w:w="91"/>
        <w:gridCol w:w="1043"/>
        <w:gridCol w:w="843"/>
      </w:tblGrid>
      <w:tr>
        <w:trPr>
          <w:trHeight w:val="440" w:hRule="exact"/>
          <w:jc w:val="center"/>
        </w:trPr>
        <w:tc>
          <w:tcPr>
            <w:tcW w:w="9740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rPr>
          <w:trHeight w:val="194" w:hRule="atLeast"/>
          <w:jc w:val="center"/>
        </w:trPr>
        <w:tc>
          <w:tcPr>
            <w:tcW w:w="9740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highlight w:val="none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22"/>
                <w:highlight w:val="none"/>
              </w:rPr>
              <w:t>（2023年度）</w:t>
            </w:r>
          </w:p>
        </w:tc>
      </w:tr>
      <w:tr>
        <w:trPr>
          <w:trHeight w:val="291" w:hRule="exact"/>
          <w:jc w:val="center"/>
        </w:trPr>
        <w:tc>
          <w:tcPr>
            <w:tcW w:w="9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项目名称</w:t>
            </w:r>
          </w:p>
        </w:tc>
        <w:tc>
          <w:tcPr>
            <w:tcW w:w="87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社稷坛整治维修工程</w:t>
            </w:r>
          </w:p>
        </w:tc>
      </w:tr>
      <w:tr>
        <w:trPr>
          <w:trHeight w:val="583" w:hRule="exact"/>
          <w:jc w:val="center"/>
        </w:trPr>
        <w:tc>
          <w:tcPr>
            <w:tcW w:w="9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69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北京市公园管理中心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68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北京市中山公园管理处</w:t>
            </w:r>
          </w:p>
        </w:tc>
      </w:tr>
      <w:tr>
        <w:trPr>
          <w:trHeight w:val="291" w:hRule="exact"/>
          <w:jc w:val="center"/>
        </w:trPr>
        <w:tc>
          <w:tcPr>
            <w:tcW w:w="9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负责人</w:t>
            </w:r>
          </w:p>
        </w:tc>
        <w:tc>
          <w:tcPr>
            <w:tcW w:w="469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张京利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联系电话</w:t>
            </w:r>
          </w:p>
        </w:tc>
        <w:tc>
          <w:tcPr>
            <w:tcW w:w="268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66052772</w:t>
            </w:r>
          </w:p>
        </w:tc>
      </w:tr>
      <w:tr>
        <w:trPr>
          <w:trHeight w:val="291" w:hRule="exact"/>
          <w:jc w:val="center"/>
        </w:trPr>
        <w:tc>
          <w:tcPr>
            <w:tcW w:w="95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br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全年预算数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rPr>
          <w:trHeight w:val="558" w:hRule="exact"/>
          <w:jc w:val="center"/>
        </w:trPr>
        <w:tc>
          <w:tcPr>
            <w:tcW w:w="959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120.440912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120.440912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117.594555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98%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rPr>
          <w:trHeight w:val="291" w:hRule="exact"/>
          <w:jc w:val="center"/>
        </w:trPr>
        <w:tc>
          <w:tcPr>
            <w:tcW w:w="959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120.440912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120.440912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117.594555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rPr>
          <w:trHeight w:val="291" w:hRule="exact"/>
          <w:jc w:val="center"/>
        </w:trPr>
        <w:tc>
          <w:tcPr>
            <w:tcW w:w="959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 xml:space="preserve">      上年结转资金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rPr>
          <w:trHeight w:val="291" w:hRule="exact"/>
          <w:jc w:val="center"/>
        </w:trPr>
        <w:tc>
          <w:tcPr>
            <w:tcW w:w="959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rPr>
          <w:trHeight w:val="291" w:hRule="exact"/>
          <w:jc w:val="center"/>
        </w:trPr>
        <w:tc>
          <w:tcPr>
            <w:tcW w:w="3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26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40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rPr>
          <w:trHeight w:val="3528" w:hRule="exact"/>
          <w:jc w:val="center"/>
        </w:trPr>
        <w:tc>
          <w:tcPr>
            <w:tcW w:w="3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26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对由于自然及材料等因素造成的破坏及残损，按原工艺、原材料、原形制进行修缮，排除险情，恢复建筑健康状态。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0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wordWrap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完成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对公园东门区域、后河电影院区域、西门区域围墙现状整修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，修缮长度共计347.08米。修缮内容主要包括：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东门区域围墙墙帽查补340.84㎡，檐头整修210m，冰盘檐打点215.98㎡，墙面粉刷229.37㎡，下碱新作混合砂浆划缝24.64㎡，铁门重作油饰48.96㎡，东二道门砖砌下碱打点79.1㎡，木门新作地仗油饰33.61㎡，砖挂檐拆砌10m；后河电影院围墙墙帽查补110.43㎡，檐头整修6.85m，冰盘檐打点32.11㎡，墙面粉刷49.77㎡，仿古面砖下碱挠洗见新73.32㎡；西门区域围墙墙帽整修73.7㎡，冰盘檐打点67.76㎡，墙面粉刷370.28㎡，砖砌下碱打点7.62㎡，木门油饰16.64㎡，菱角檐除草勾缝122.13㎡，消防门重做油饰29.3㎡等。</w:t>
            </w:r>
          </w:p>
          <w:p>
            <w:pPr>
              <w:widowControl w:val="0"/>
              <w:wordWrap/>
              <w:adjustRightInd/>
              <w:snapToGrid/>
              <w:spacing w:line="240" w:lineRule="exact"/>
              <w:textAlignment w:val="auto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rPr>
          <w:trHeight w:val="517" w:hRule="exact"/>
          <w:jc w:val="center"/>
        </w:trPr>
        <w:tc>
          <w:tcPr>
            <w:tcW w:w="3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br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br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br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标</w:t>
            </w:r>
          </w:p>
        </w:tc>
        <w:tc>
          <w:tcPr>
            <w:tcW w:w="3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18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8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rPr>
          <w:trHeight w:val="1544" w:hRule="exact"/>
          <w:jc w:val="center"/>
        </w:trPr>
        <w:tc>
          <w:tcPr>
            <w:tcW w:w="3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产出指标</w:t>
            </w: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18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指标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1：东门区域围墙、后河电影院围墙、西门区域围墙</w:t>
            </w: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=347.08米</w:t>
            </w:r>
          </w:p>
        </w:tc>
        <w:tc>
          <w:tcPr>
            <w:tcW w:w="10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=347.08米</w:t>
            </w:r>
          </w:p>
        </w:tc>
        <w:tc>
          <w:tcPr>
            <w:tcW w:w="5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60</w:t>
            </w:r>
          </w:p>
        </w:tc>
        <w:tc>
          <w:tcPr>
            <w:tcW w:w="5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60</w:t>
            </w:r>
          </w:p>
        </w:tc>
        <w:tc>
          <w:tcPr>
            <w:tcW w:w="18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3"/>
                <w:szCs w:val="13"/>
                <w:highlight w:val="none"/>
                <w:lang w:val="en-US" w:eastAsia="zh-CN"/>
              </w:rPr>
            </w:pPr>
          </w:p>
        </w:tc>
      </w:tr>
      <w:tr>
        <w:trPr>
          <w:trHeight w:val="2305" w:hRule="exact"/>
          <w:jc w:val="center"/>
        </w:trPr>
        <w:tc>
          <w:tcPr>
            <w:tcW w:w="3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96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1618" w:type="dxa"/>
            <w:gridSpan w:val="2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8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指标1：改善社稷坛整体风貌，提升中轴线景观环境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优良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eastAsia="zh-CN"/>
              </w:rPr>
              <w:t>优（该项目的实施提升社稷坛整体景观环境，对中轴线申遗做出了积极贡献）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 xml:space="preserve">30 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30</w:t>
            </w:r>
          </w:p>
        </w:tc>
        <w:tc>
          <w:tcPr>
            <w:tcW w:w="18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rPr>
          <w:trHeight w:val="801" w:hRule="exact"/>
          <w:jc w:val="center"/>
        </w:trPr>
        <w:tc>
          <w:tcPr>
            <w:tcW w:w="669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18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pStyle w:val="4"/>
        <w:spacing w:before="0" w:after="0" w:line="240" w:lineRule="auto"/>
        <w:rPr>
          <w:rFonts w:hint="eastAsia" w:ascii="宋体" w:hAnsi="宋体" w:eastAsia="宋体" w:cs="宋体"/>
          <w:b w:val="0"/>
          <w:kern w:val="0"/>
          <w:sz w:val="16"/>
          <w:szCs w:val="16"/>
          <w:lang w:val="en-US" w:eastAsia="zh-CN" w:bidi="ar-SA"/>
        </w:rPr>
      </w:pPr>
    </w:p>
    <w:sectPr>
      <w:footerReference r:id="rId4" w:type="default"/>
      <w:footerReference r:id="rId5" w:type="even"/>
      <w:pgSz w:w="11906" w:h="16838"/>
      <w:pgMar w:top="1701" w:right="1191" w:bottom="1701" w:left="1191" w:header="737" w:footer="851" w:gutter="0"/>
      <w:cols w:space="720" w:num="1"/>
      <w:docGrid w:type="lines"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4"/>
      <w:framePr w:wrap="around" w:hAnchor="margin" w:vAnchor="text" w:xAlign="outside" w:y="1"/>
      <w:jc w:val="right"/>
      <w:rPr>
        <w:rStyle w:val="22"/>
        <w:rFonts w:hint="eastAsia"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fldChar w:fldCharType="begin"/>
    </w:r>
    <w:r>
      <w:rPr>
        <w:rStyle w:val="22"/>
        <w:rFonts w:hint="eastAsia" w:ascii="宋体" w:hAnsi="宋体"/>
        <w:sz w:val="28"/>
        <w:szCs w:val="28"/>
      </w:rPr>
      <w:instrText xml:space="preserve">PAGE  </w:instrText>
    </w:r>
    <w:r>
      <w:rPr>
        <w:rFonts w:hint="eastAsia" w:ascii="宋体" w:hAnsi="宋体"/>
        <w:sz w:val="28"/>
        <w:szCs w:val="28"/>
      </w:rPr>
      <w:fldChar w:fldCharType="separate"/>
    </w:r>
    <w:r>
      <w:rPr>
        <w:rStyle w:val="22"/>
        <w:rFonts w:ascii="宋体" w:hAnsi="宋体"/>
        <w:sz w:val="28"/>
        <w:szCs w:val="28"/>
      </w:rPr>
      <w:t>1</w:t>
    </w:r>
    <w:r>
      <w:rPr>
        <w:rFonts w:hint="eastAsia" w:ascii="宋体" w:hAnsi="宋体"/>
        <w:sz w:val="28"/>
        <w:szCs w:val="28"/>
      </w:rPr>
      <w:fldChar w:fldCharType="end"/>
    </w:r>
  </w:p>
  <w:p>
    <w:pPr>
      <w:pStyle w:val="14"/>
      <w:ind w:right="360"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4"/>
      <w:framePr w:wrap="around" w:hAnchor="margin" w:vAnchor="text" w:xAlign="outside" w:y="1"/>
      <w:rPr>
        <w:rStyle w:val="22"/>
        <w:rFonts w:hint="eastAsia" w:ascii="仿宋_GB2312" w:eastAsia="仿宋_GB2312"/>
        <w:sz w:val="28"/>
        <w:szCs w:val="28"/>
      </w:rPr>
    </w:pPr>
    <w:r>
      <w:rPr>
        <w:rFonts w:hint="eastAsia" w:ascii="仿宋_GB2312" w:eastAsia="仿宋_GB2312"/>
        <w:sz w:val="28"/>
        <w:szCs w:val="28"/>
      </w:rPr>
      <w:fldChar w:fldCharType="begin"/>
    </w:r>
    <w:r>
      <w:rPr>
        <w:rStyle w:val="22"/>
        <w:rFonts w:hint="eastAsia" w:ascii="仿宋_GB2312" w:eastAsia="仿宋_GB2312"/>
        <w:sz w:val="28"/>
        <w:szCs w:val="28"/>
      </w:rPr>
      <w:instrText xml:space="preserve">PAGE  </w:instrText>
    </w:r>
    <w:r>
      <w:rPr>
        <w:rFonts w:hint="eastAsia" w:ascii="仿宋_GB2312" w:eastAsia="仿宋_GB2312"/>
        <w:sz w:val="28"/>
        <w:szCs w:val="28"/>
      </w:rPr>
      <w:fldChar w:fldCharType="separate"/>
    </w:r>
    <w:r>
      <w:rPr>
        <w:rStyle w:val="22"/>
        <w:rFonts w:ascii="仿宋_GB2312" w:eastAsia="仿宋_GB2312"/>
        <w:sz w:val="28"/>
        <w:szCs w:val="28"/>
      </w:rPr>
      <w:t>- 36 -</w:t>
    </w:r>
    <w:r>
      <w:rPr>
        <w:rFonts w:hint="eastAsia" w:ascii="仿宋_GB2312" w:eastAsia="仿宋_GB2312"/>
        <w:sz w:val="28"/>
        <w:szCs w:val="28"/>
      </w:rPr>
      <w:fldChar w:fldCharType="end"/>
    </w:r>
  </w:p>
  <w:p>
    <w:pPr>
      <w:pStyle w:val="14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bordersDoNotSurroundHeader w:val="0"/>
  <w:bordersDoNotSurroundFooter w:val="0"/>
  <w:defaultTabStop w:val="420"/>
  <w:drawingGridHorizontalSpacing w:val="105"/>
  <w:drawingGridVerticalSpacing w:val="20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5"/>
    <w:pPr>
      <w:keepNext/>
      <w:keepLines/>
      <w:spacing w:before="260" w:after="260" w:line="413" w:lineRule="auto"/>
      <w:outlineLvl w:val="1"/>
    </w:pPr>
    <w:rPr>
      <w:rFonts w:ascii="Arial" w:hAnsi="Arial" w:eastAsia="黑体" w:cs="Times New Roman"/>
      <w:b/>
      <w:sz w:val="32"/>
      <w:szCs w:val="24"/>
    </w:rPr>
  </w:style>
  <w:style w:type="character" w:default="1" w:styleId="18">
    <w:name w:val="Default Paragraph Font"/>
  </w:style>
  <w:style w:type="character" w:customStyle="1" w:styleId="3">
    <w:name w:val="标题 1 Char"/>
    <w:link w:val="2"/>
    <w:semiHidden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5">
    <w:name w:val="标题 2 Char"/>
    <w:link w:val="4"/>
    <w:semiHidden/>
    <w:rPr>
      <w:rFonts w:ascii="Arial" w:hAnsi="Arial" w:eastAsia="黑体" w:cs="Times New Roman"/>
      <w:b/>
      <w:sz w:val="32"/>
      <w:szCs w:val="24"/>
    </w:rPr>
  </w:style>
  <w:style w:type="character" w:customStyle="1" w:styleId="6">
    <w:name w:val="文档结构图 Char"/>
    <w:link w:val="7"/>
    <w:semiHidden/>
    <w:rPr>
      <w:rFonts w:ascii="Times New Roman" w:hAnsi="Times New Roman" w:eastAsia="宋体" w:cs="Times New Roman"/>
      <w:szCs w:val="24"/>
      <w:shd w:val="clear" w:color="auto" w:fill="000080"/>
    </w:rPr>
  </w:style>
  <w:style w:type="paragraph" w:customStyle="1" w:styleId="7">
    <w:name w:val="Document Map"/>
    <w:basedOn w:val="1"/>
    <w:link w:val="6"/>
    <w:pPr>
      <w:shd w:val="clear" w:color="auto" w:fill="000080"/>
    </w:pPr>
    <w:rPr>
      <w:rFonts w:ascii="Times New Roman" w:hAnsi="Times New Roman" w:eastAsia="宋体" w:cs="Times New Roman"/>
      <w:szCs w:val="24"/>
      <w:shd w:val="clear" w:color="auto" w:fill="000080"/>
    </w:rPr>
  </w:style>
  <w:style w:type="character" w:customStyle="1" w:styleId="8">
    <w:name w:val="正文文本缩进 Char"/>
    <w:link w:val="9"/>
    <w:semiHidden/>
    <w:rPr>
      <w:rFonts w:ascii="仿宋_GB2312" w:hAnsi="Times New Roman" w:eastAsia="仿宋_GB2312" w:cs="Times New Roman"/>
      <w:sz w:val="32"/>
      <w:szCs w:val="32"/>
    </w:rPr>
  </w:style>
  <w:style w:type="paragraph" w:customStyle="1" w:styleId="9">
    <w:name w:val="Body Text Indent"/>
    <w:basedOn w:val="1"/>
    <w:link w:val="8"/>
    <w:pPr>
      <w:ind w:firstLine="645"/>
    </w:pPr>
    <w:rPr>
      <w:rFonts w:ascii="仿宋_GB2312" w:hAnsi="Times New Roman" w:eastAsia="仿宋_GB2312" w:cs="Times New Roman"/>
      <w:sz w:val="32"/>
      <w:szCs w:val="32"/>
    </w:rPr>
  </w:style>
  <w:style w:type="character" w:customStyle="1" w:styleId="10">
    <w:name w:val="日期 Char"/>
    <w:link w:val="11"/>
    <w:semiHidden/>
    <w:rPr>
      <w:rFonts w:ascii="Times New Roman" w:hAnsi="Times New Roman" w:eastAsia="楷体_GB2312" w:cs="Times New Roman"/>
      <w:sz w:val="32"/>
      <w:szCs w:val="20"/>
    </w:rPr>
  </w:style>
  <w:style w:type="paragraph" w:customStyle="1" w:styleId="11">
    <w:name w:val="Date"/>
    <w:basedOn w:val="1"/>
    <w:next w:val="1"/>
    <w:link w:val="10"/>
    <w:rPr>
      <w:rFonts w:ascii="Times New Roman" w:hAnsi="Times New Roman" w:eastAsia="楷体_GB2312" w:cs="Times New Roman"/>
      <w:sz w:val="32"/>
      <w:szCs w:val="20"/>
    </w:rPr>
  </w:style>
  <w:style w:type="paragraph" w:styleId="12">
    <w:name w:val="批注框文本"/>
    <w:basedOn w:val="1"/>
    <w:link w:val="13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批注框文本 Char"/>
    <w:link w:val="12"/>
    <w:semiHidden/>
    <w:rPr>
      <w:rFonts w:ascii="Times New Roman" w:hAnsi="Times New Roman" w:eastAsia="宋体" w:cs="Times New Roman"/>
      <w:sz w:val="18"/>
      <w:szCs w:val="18"/>
    </w:rPr>
  </w:style>
  <w:style w:type="paragraph" w:styleId="14">
    <w:name w:val="footer"/>
    <w:basedOn w:val="1"/>
    <w:link w:val="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15">
    <w:name w:val="页脚 Char"/>
    <w:link w:val="14"/>
    <w:semiHidden/>
    <w:rPr>
      <w:sz w:val="18"/>
      <w:szCs w:val="18"/>
    </w:rPr>
  </w:style>
  <w:style w:type="paragraph" w:styleId="16">
    <w:name w:val="header"/>
    <w:basedOn w:val="1"/>
    <w:link w:val="17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7">
    <w:name w:val="页眉 Char"/>
    <w:link w:val="16"/>
    <w:semiHidden/>
    <w:rPr>
      <w:sz w:val="18"/>
      <w:szCs w:val="18"/>
    </w:rPr>
  </w:style>
  <w:style w:type="paragraph" w:customStyle="1" w:styleId="19">
    <w:name w:val="Normal (Web)"/>
    <w:basedOn w:val="1"/>
    <w:pPr>
      <w:widowControl/>
      <w:spacing w:line="450" w:lineRule="atLeast"/>
      <w:jc w:val="left"/>
    </w:pPr>
    <w:rPr>
      <w:rFonts w:ascii="宋体" w:hAnsi="宋体" w:cs="宋体"/>
      <w:color w:val="000000"/>
      <w:kern w:val="0"/>
      <w:szCs w:val="21"/>
    </w:rPr>
  </w:style>
  <w:style w:type="paragraph" w:customStyle="1" w:styleId="20">
    <w:name w:val="列出段落1"/>
    <w:basedOn w:val="1"/>
    <w:pPr>
      <w:ind w:firstLine="420" w:firstLineChars="200"/>
    </w:pPr>
    <w:rPr>
      <w:rFonts w:ascii="Calibri" w:hAnsi="Calibri" w:cs="黑体"/>
      <w:szCs w:val="22"/>
    </w:rPr>
  </w:style>
  <w:style w:type="paragraph" w:customStyle="1" w:styleId="21">
    <w:name w:val="List Paragraph"/>
    <w:basedOn w:val="1"/>
    <w:pPr>
      <w:ind w:firstLine="420" w:firstLineChars="200"/>
    </w:pPr>
    <w:rPr>
      <w:rFonts w:ascii="Calibri" w:hAnsi="Calibri"/>
      <w:szCs w:val="22"/>
    </w:rPr>
  </w:style>
  <w:style w:type="character" w:customStyle="1" w:styleId="22">
    <w:name w:val="page number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1257</Words>
  <Characters>1546</Characters>
  <Lines>5</Lines>
  <Paragraphs>1</Paragraphs>
  <TotalTime>0</TotalTime>
  <ScaleCrop>false</ScaleCrop>
  <LinksUpToDate>false</LinksUpToDate>
  <CharactersWithSpaces>0</CharactersWithSpaces>
  <Application>WPS Office 个人版_9.1.0.4249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2020-11-03T01:17:00Z</dcterms:created>
  <dc:creator>信息发布员</dc:creator>
  <cp:lastModifiedBy>HP</cp:lastModifiedBy>
  <dcterms:modified xsi:type="dcterms:W3CDTF">2024-05-12T00:29:19Z</dcterms:modified>
  <dc:title>项目支出绩效自评表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2052-9.1.0.4249</vt:lpwstr>
  </property>
  <property fmtid="{D5CDD505-2E9C-101B-9397-08002B2CF9AE}" pid="3" name="ICV">
    <vt:lpwstr>776951C173DD483F9DFA45E3EB0DD99A</vt:lpwstr>
  </property>
</Properties>
</file>