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bookmarkStart w:id="0" w:name="_GoBack"/>
      <w:bookmarkEnd w:id="0"/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649"/>
        <w:gridCol w:w="1205"/>
        <w:gridCol w:w="283"/>
        <w:gridCol w:w="1032"/>
        <w:gridCol w:w="750"/>
        <w:gridCol w:w="585"/>
        <w:gridCol w:w="540"/>
        <w:gridCol w:w="30"/>
        <w:gridCol w:w="915"/>
        <w:gridCol w:w="3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玉渊潭古树复壮养护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2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北京市公园管理中心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8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北京市玉渊潭公园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2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许兴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88653933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82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17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455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17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455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87%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17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455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17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455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上年结转资金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2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2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2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玉渊潭公园现有二级古树16株，名木2株，根据《北京市古树名木保护管理条例》的工作需求，我园将古树名木保护列入全年绿化工作的重点工作。202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4"/>
              </w:rPr>
              <w:t>年申报古树保护项目经费预计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" w:eastAsia="仿宋_GB2312"/>
                <w:sz w:val="24"/>
              </w:rPr>
              <w:t>万元，用于提升古树生长条件及周边环境，突出古树名木的生态价值、人文价值、生态价值和种质价值施工计划</w:t>
            </w:r>
            <w:r>
              <w:rPr>
                <w:rFonts w:hint="eastAsia" w:ascii="仿宋_GB2312" w:hAnsi="仿宋" w:eastAsia="仿宋_GB2312"/>
                <w:sz w:val="24"/>
                <w:lang w:eastAsia="zh-CN"/>
              </w:rPr>
              <w:t>，玉渊潭公园古树生境提升</w:t>
            </w:r>
          </w:p>
        </w:tc>
        <w:tc>
          <w:tcPr>
            <w:tcW w:w="32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sz w:val="24"/>
                <w:lang w:val="en-US" w:eastAsia="zh-CN"/>
              </w:rPr>
              <w:t>复壮古树16株，负角度修复干撅及剪锯口99个，使用微修复膏体25桶，涂抹伤口愈合剂、渗透液32桶，清运修剪枝条18车；复壮名木大山樱2株，焊接支撑1套，修复树洞3个，每株增设四个复壮沟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提升古树生长环境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优良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提升周边环境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优良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游客满意度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79"/>
              </w:tabs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AE551FF"/>
    <w:rsid w:val="0ECF9C51"/>
    <w:rsid w:val="164B7716"/>
    <w:rsid w:val="18E81B34"/>
    <w:rsid w:val="2AAA4628"/>
    <w:rsid w:val="37173543"/>
    <w:rsid w:val="3FF76880"/>
    <w:rsid w:val="57B42F56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2024-05-09T00:36:58Z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C408C508AD544FE9A97A6D6B8EA7D47B_12</vt:lpwstr>
  </property>
</Properties>
</file>