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hint="default" w:ascii="黑体" w:hAnsi="黑体" w:eastAsia="黑体"/>
          <w:sz w:val="32"/>
          <w:szCs w:val="32"/>
          <w:lang w:val="en-US" w:eastAsia="zh-CN"/>
        </w:rPr>
      </w:pPr>
      <w:r>
        <w:rPr>
          <w:rFonts w:hint="eastAsia" w:ascii="黑体" w:hAnsi="黑体" w:eastAsia="黑体"/>
          <w:sz w:val="32"/>
          <w:szCs w:val="32"/>
        </w:rPr>
        <w:t>附件1</w:t>
      </w:r>
      <w:r>
        <w:rPr>
          <w:rFonts w:hint="eastAsia" w:ascii="黑体" w:hAnsi="黑体" w:eastAsia="黑体"/>
          <w:sz w:val="32"/>
          <w:szCs w:val="32"/>
          <w:lang w:val="en-US" w:eastAsia="zh-CN"/>
        </w:rPr>
        <w:t>-1</w:t>
      </w:r>
    </w:p>
    <w:p>
      <w:pPr>
        <w:spacing w:line="480" w:lineRule="exact"/>
        <w:jc w:val="center"/>
        <w:rPr>
          <w:rFonts w:hint="eastAsia"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hint="eastAsia" w:ascii="仿宋_GB2312" w:hAnsi="宋体" w:eastAsia="仿宋_GB2312"/>
          <w:sz w:val="28"/>
          <w:szCs w:val="28"/>
        </w:rPr>
        <w:t xml:space="preserve">  （   </w:t>
      </w:r>
      <w:r>
        <w:rPr>
          <w:rFonts w:ascii="仿宋_GB2312" w:hAnsi="宋体" w:eastAsia="仿宋_GB2312"/>
          <w:sz w:val="28"/>
          <w:szCs w:val="28"/>
        </w:rPr>
        <w:t xml:space="preserve"> </w:t>
      </w:r>
      <w:r>
        <w:rPr>
          <w:rFonts w:hint="eastAsia" w:ascii="仿宋_GB2312" w:hAnsi="宋体" w:eastAsia="仿宋_GB2312"/>
          <w:sz w:val="28"/>
          <w:szCs w:val="28"/>
          <w:lang w:val="en-US" w:eastAsia="zh-CN"/>
        </w:rPr>
        <w:t>2023</w:t>
      </w:r>
      <w:r>
        <w:rPr>
          <w:rFonts w:ascii="仿宋_GB2312" w:hAnsi="宋体" w:eastAsia="仿宋_GB2312"/>
          <w:sz w:val="28"/>
          <w:szCs w:val="28"/>
        </w:rPr>
        <w:t xml:space="preserve"> </w:t>
      </w:r>
      <w:r>
        <w:rPr>
          <w:rFonts w:hint="eastAsia" w:ascii="仿宋_GB2312" w:hAnsi="宋体" w:eastAsia="仿宋_GB2312"/>
          <w:sz w:val="28"/>
          <w:szCs w:val="28"/>
        </w:rPr>
        <w:t xml:space="preserve"> 年度）</w:t>
      </w:r>
    </w:p>
    <w:p>
      <w:pPr>
        <w:spacing w:line="240" w:lineRule="exact"/>
        <w:rPr>
          <w:rFonts w:hint="eastAsia" w:ascii="仿宋_GB2312" w:hAnsi="宋体" w:eastAsia="仿宋_GB2312"/>
          <w:sz w:val="30"/>
          <w:szCs w:val="30"/>
        </w:rPr>
      </w:pPr>
    </w:p>
    <w:tbl>
      <w:tblPr>
        <w:tblStyle w:val="5"/>
        <w:tblW w:w="9416" w:type="dxa"/>
        <w:jc w:val="center"/>
        <w:tblLayout w:type="fixed"/>
        <w:tblCellMar>
          <w:top w:w="0" w:type="dxa"/>
          <w:left w:w="108" w:type="dxa"/>
          <w:bottom w:w="0" w:type="dxa"/>
          <w:right w:w="108" w:type="dxa"/>
        </w:tblCellMar>
      </w:tblPr>
      <w:tblGrid>
        <w:gridCol w:w="585"/>
        <w:gridCol w:w="975"/>
        <w:gridCol w:w="1105"/>
        <w:gridCol w:w="727"/>
        <w:gridCol w:w="1033"/>
        <w:gridCol w:w="94"/>
        <w:gridCol w:w="1132"/>
        <w:gridCol w:w="848"/>
        <w:gridCol w:w="279"/>
        <w:gridCol w:w="284"/>
        <w:gridCol w:w="420"/>
        <w:gridCol w:w="143"/>
        <w:gridCol w:w="703"/>
        <w:gridCol w:w="1088"/>
      </w:tblGrid>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项目名称</w:t>
            </w:r>
          </w:p>
        </w:tc>
        <w:tc>
          <w:tcPr>
            <w:tcW w:w="7856" w:type="dxa"/>
            <w:gridSpan w:val="1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玉渊潭科技经费</w:t>
            </w:r>
          </w:p>
        </w:tc>
      </w:tr>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主管部门</w:t>
            </w:r>
          </w:p>
        </w:tc>
        <w:tc>
          <w:tcPr>
            <w:tcW w:w="4091"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北京市公园管理中心</w:t>
            </w:r>
          </w:p>
        </w:tc>
        <w:tc>
          <w:tcPr>
            <w:tcW w:w="112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实施单位</w:t>
            </w:r>
          </w:p>
        </w:tc>
        <w:tc>
          <w:tcPr>
            <w:tcW w:w="2638"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北京市玉渊潭公园管理处</w:t>
            </w:r>
            <w:bookmarkStart w:id="0" w:name="_GoBack"/>
            <w:bookmarkEnd w:id="0"/>
          </w:p>
        </w:tc>
      </w:tr>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项目负责人</w:t>
            </w:r>
          </w:p>
        </w:tc>
        <w:tc>
          <w:tcPr>
            <w:tcW w:w="4091"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魏  硕</w:t>
            </w:r>
          </w:p>
        </w:tc>
        <w:tc>
          <w:tcPr>
            <w:tcW w:w="112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联系电话</w:t>
            </w:r>
          </w:p>
        </w:tc>
        <w:tc>
          <w:tcPr>
            <w:tcW w:w="2638"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88653812</w:t>
            </w:r>
          </w:p>
        </w:tc>
      </w:tr>
      <w:tr>
        <w:tblPrEx>
          <w:tblCellMar>
            <w:top w:w="0" w:type="dxa"/>
            <w:left w:w="108" w:type="dxa"/>
            <w:bottom w:w="0" w:type="dxa"/>
            <w:right w:w="108" w:type="dxa"/>
          </w:tblCellMar>
        </w:tblPrEx>
        <w:trPr>
          <w:trHeight w:val="56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项目资金</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（万元）</w:t>
            </w:r>
          </w:p>
        </w:tc>
        <w:tc>
          <w:tcPr>
            <w:tcW w:w="183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112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年初预</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算数</w:t>
            </w:r>
          </w:p>
        </w:tc>
        <w:tc>
          <w:tcPr>
            <w:tcW w:w="1132"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全年预</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算数</w:t>
            </w:r>
          </w:p>
        </w:tc>
        <w:tc>
          <w:tcPr>
            <w:tcW w:w="112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全年</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执行数</w:t>
            </w:r>
          </w:p>
        </w:tc>
        <w:tc>
          <w:tcPr>
            <w:tcW w:w="70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分值</w:t>
            </w:r>
          </w:p>
        </w:tc>
        <w:tc>
          <w:tcPr>
            <w:tcW w:w="8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执行率</w:t>
            </w:r>
          </w:p>
        </w:tc>
        <w:tc>
          <w:tcPr>
            <w:tcW w:w="108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得分</w:t>
            </w:r>
          </w:p>
        </w:tc>
      </w:tr>
      <w:tr>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183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年度资金总额</w:t>
            </w:r>
          </w:p>
        </w:tc>
        <w:tc>
          <w:tcPr>
            <w:tcW w:w="112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10.6</w:t>
            </w:r>
          </w:p>
        </w:tc>
        <w:tc>
          <w:tcPr>
            <w:tcW w:w="1132"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10.20986</w:t>
            </w:r>
          </w:p>
        </w:tc>
        <w:tc>
          <w:tcPr>
            <w:tcW w:w="112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10.20986</w:t>
            </w:r>
          </w:p>
        </w:tc>
        <w:tc>
          <w:tcPr>
            <w:tcW w:w="70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10</w:t>
            </w:r>
          </w:p>
        </w:tc>
        <w:tc>
          <w:tcPr>
            <w:tcW w:w="8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96%</w:t>
            </w:r>
          </w:p>
        </w:tc>
        <w:tc>
          <w:tcPr>
            <w:tcW w:w="108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9</w:t>
            </w:r>
          </w:p>
        </w:tc>
      </w:tr>
      <w:tr>
        <w:tblPrEx>
          <w:tblCellMar>
            <w:top w:w="0" w:type="dxa"/>
            <w:left w:w="108" w:type="dxa"/>
            <w:bottom w:w="0" w:type="dxa"/>
            <w:right w:w="108" w:type="dxa"/>
          </w:tblCellMar>
        </w:tblPrEx>
        <w:trPr>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183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其中：当年财政</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拨款</w:t>
            </w:r>
          </w:p>
        </w:tc>
        <w:tc>
          <w:tcPr>
            <w:tcW w:w="112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1132"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112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70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8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108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r>
      <w:tr>
        <w:tblPrEx>
          <w:tblCellMar>
            <w:top w:w="0" w:type="dxa"/>
            <w:left w:w="108" w:type="dxa"/>
            <w:bottom w:w="0" w:type="dxa"/>
            <w:right w:w="108" w:type="dxa"/>
          </w:tblCellMar>
        </w:tblPrEx>
        <w:trPr>
          <w:trHeight w:val="56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183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 xml:space="preserve">      上年结转资金</w:t>
            </w:r>
          </w:p>
        </w:tc>
        <w:tc>
          <w:tcPr>
            <w:tcW w:w="112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1132"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112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70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8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108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r>
      <w:tr>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183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 xml:space="preserve">  其他资金</w:t>
            </w:r>
          </w:p>
        </w:tc>
        <w:tc>
          <w:tcPr>
            <w:tcW w:w="112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10.6</w:t>
            </w:r>
          </w:p>
        </w:tc>
        <w:tc>
          <w:tcPr>
            <w:tcW w:w="1132"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10.20986</w:t>
            </w:r>
          </w:p>
        </w:tc>
        <w:tc>
          <w:tcPr>
            <w:tcW w:w="112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10.20986</w:t>
            </w:r>
          </w:p>
        </w:tc>
        <w:tc>
          <w:tcPr>
            <w:tcW w:w="70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8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96%</w:t>
            </w:r>
          </w:p>
        </w:tc>
        <w:tc>
          <w:tcPr>
            <w:tcW w:w="108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r>
      <w:tr>
        <w:tblPrEx>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年度总体目标</w:t>
            </w:r>
          </w:p>
        </w:tc>
        <w:tc>
          <w:tcPr>
            <w:tcW w:w="5066"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预期目标</w:t>
            </w:r>
          </w:p>
        </w:tc>
        <w:tc>
          <w:tcPr>
            <w:tcW w:w="3765"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实际完成情况</w:t>
            </w:r>
          </w:p>
        </w:tc>
      </w:tr>
      <w:tr>
        <w:tblPrEx>
          <w:tblCellMar>
            <w:top w:w="0" w:type="dxa"/>
            <w:left w:w="108" w:type="dxa"/>
            <w:bottom w:w="0" w:type="dxa"/>
            <w:right w:w="108" w:type="dxa"/>
          </w:tblCellMar>
        </w:tblPrEx>
        <w:trPr>
          <w:trHeight w:val="3505" w:hRule="exact"/>
          <w:jc w:val="center"/>
        </w:trPr>
        <w:tc>
          <w:tcPr>
            <w:tcW w:w="585"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5066"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科技信息科负责全园科技经费的监督管理工作，设置专职科管干部针对科技经费运行情况进行监督管理，每个在研课题的负责人作为第一责任人对照自己的课题任务与考核指标进行科技经费的使用、记录、上报与自查。科技信息科依据科研经费管理办法对公园5个在研课题进行动态管理及时与课题负责人进行沟通，及时掌握4个中心级课题和1个园级课题进展情况，对课题的预算执行、绩效指标执行等各方面进行</w:t>
            </w:r>
            <w:r>
              <w:rPr>
                <w:rFonts w:hint="default" w:ascii="仿宋_GB2312" w:hAnsi="宋体" w:eastAsia="仿宋_GB2312" w:cs="宋体"/>
                <w:kern w:val="0"/>
                <w:sz w:val="18"/>
                <w:szCs w:val="18"/>
                <w:lang w:val="en-US" w:eastAsia="zh-CN"/>
              </w:rPr>
              <w:t>绩效跟踪</w:t>
            </w:r>
            <w:r>
              <w:rPr>
                <w:rFonts w:hint="eastAsia" w:ascii="仿宋_GB2312" w:hAnsi="宋体" w:eastAsia="仿宋_GB2312" w:cs="宋体"/>
                <w:kern w:val="0"/>
                <w:sz w:val="18"/>
                <w:szCs w:val="18"/>
                <w:lang w:val="en-US" w:eastAsia="zh-CN"/>
              </w:rPr>
              <w:t>。</w:t>
            </w:r>
          </w:p>
          <w:p>
            <w:pPr>
              <w:widowControl/>
              <w:spacing w:line="240" w:lineRule="exact"/>
              <w:jc w:val="left"/>
              <w:rPr>
                <w:rFonts w:hint="eastAsia" w:ascii="仿宋_GB2312" w:hAnsi="宋体" w:eastAsia="仿宋_GB2312" w:cs="宋体"/>
                <w:kern w:val="0"/>
                <w:sz w:val="21"/>
                <w:szCs w:val="21"/>
              </w:rPr>
            </w:pPr>
          </w:p>
        </w:tc>
        <w:tc>
          <w:tcPr>
            <w:tcW w:w="3765"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科技项目完成情况如下：</w:t>
            </w:r>
          </w:p>
          <w:p>
            <w:pPr>
              <w:widowControl/>
              <w:spacing w:line="240" w:lineRule="exact"/>
              <w:jc w:val="left"/>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1.中心级课题：《玉渊潭樱花分级评价体系建立及复壮养护研究》，各项任务指标按照预期计划完成</w:t>
            </w:r>
            <w:r>
              <w:rPr>
                <w:rFonts w:hint="eastAsia" w:ascii="仿宋_GB2312" w:hAnsi="宋体" w:eastAsia="仿宋_GB2312" w:cs="宋体"/>
                <w:kern w:val="0"/>
                <w:sz w:val="21"/>
                <w:szCs w:val="21"/>
                <w:lang w:val="en-US" w:eastAsia="zh-CN"/>
              </w:rPr>
              <w:t>。</w:t>
            </w:r>
            <w:r>
              <w:rPr>
                <w:rFonts w:hint="eastAsia" w:ascii="仿宋_GB2312" w:hAnsi="宋体" w:eastAsia="仿宋_GB2312" w:cs="宋体"/>
                <w:kern w:val="0"/>
                <w:sz w:val="18"/>
                <w:szCs w:val="18"/>
                <w:lang w:val="en-US" w:eastAsia="zh-CN"/>
              </w:rPr>
              <w:t>2.中心级课题：《樱花褐斑穿孔病品种抗性研究及防治药剂筛选》，各项任务指标按照预期计划完成。3.中心级课题：《樱花刺吸类有害生物化学药剂减施技术研究》，各项任务指标按照预期计划完成。4.中心级课题《樱花树连作障碍防控关键技术研究绩效》，各项任务指标按照预期计划完成，课题结题。5.园级课题：《华北、东北、华东及华中地区原生种樱花引种驯化研究》，各项任务指标按照预期计划完成</w:t>
            </w:r>
            <w:r>
              <w:rPr>
                <w:rFonts w:hint="eastAsia" w:ascii="仿宋_GB2312" w:hAnsi="宋体" w:eastAsia="仿宋_GB2312" w:cs="宋体"/>
                <w:kern w:val="0"/>
                <w:sz w:val="21"/>
                <w:szCs w:val="21"/>
                <w:lang w:val="en-US" w:eastAsia="zh-CN"/>
              </w:rPr>
              <w:t>。</w:t>
            </w:r>
          </w:p>
          <w:p>
            <w:pPr>
              <w:widowControl/>
              <w:spacing w:line="240" w:lineRule="exact"/>
              <w:jc w:val="left"/>
              <w:rPr>
                <w:rFonts w:hint="default" w:ascii="仿宋_GB2312" w:hAnsi="宋体" w:eastAsia="仿宋_GB2312" w:cs="宋体"/>
                <w:kern w:val="0"/>
                <w:sz w:val="18"/>
                <w:szCs w:val="18"/>
                <w:lang w:val="en-US" w:eastAsia="zh-CN"/>
              </w:rPr>
            </w:pPr>
          </w:p>
        </w:tc>
      </w:tr>
      <w:tr>
        <w:tblPrEx>
          <w:tblCellMar>
            <w:top w:w="0" w:type="dxa"/>
            <w:left w:w="108" w:type="dxa"/>
            <w:bottom w:w="0" w:type="dxa"/>
            <w:right w:w="108" w:type="dxa"/>
          </w:tblCellMar>
        </w:tblPrEx>
        <w:trPr>
          <w:trHeight w:val="830" w:hRule="exact"/>
          <w:jc w:val="center"/>
        </w:trPr>
        <w:tc>
          <w:tcPr>
            <w:tcW w:w="58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绩</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效</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指</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标</w:t>
            </w:r>
          </w:p>
        </w:tc>
        <w:tc>
          <w:tcPr>
            <w:tcW w:w="975"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一级指标</w:t>
            </w:r>
          </w:p>
        </w:tc>
        <w:tc>
          <w:tcPr>
            <w:tcW w:w="1105"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二级指标</w:t>
            </w:r>
          </w:p>
        </w:tc>
        <w:tc>
          <w:tcPr>
            <w:tcW w:w="176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三级指标</w:t>
            </w:r>
          </w:p>
        </w:tc>
        <w:tc>
          <w:tcPr>
            <w:tcW w:w="122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年度</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指标值</w:t>
            </w:r>
          </w:p>
        </w:tc>
        <w:tc>
          <w:tcPr>
            <w:tcW w:w="84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实际</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完成值</w:t>
            </w:r>
          </w:p>
        </w:tc>
        <w:tc>
          <w:tcPr>
            <w:tcW w:w="56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分值</w:t>
            </w:r>
          </w:p>
        </w:tc>
        <w:tc>
          <w:tcPr>
            <w:tcW w:w="56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得分</w:t>
            </w:r>
          </w:p>
        </w:tc>
        <w:tc>
          <w:tcPr>
            <w:tcW w:w="179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偏差原因分析及改进</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措施</w:t>
            </w:r>
          </w:p>
        </w:tc>
      </w:tr>
      <w:tr>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产出指标</w:t>
            </w:r>
          </w:p>
        </w:tc>
        <w:tc>
          <w:tcPr>
            <w:tcW w:w="110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质量指标</w:t>
            </w:r>
          </w:p>
        </w:tc>
        <w:tc>
          <w:tcPr>
            <w:tcW w:w="176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完成课题经费</w:t>
            </w:r>
          </w:p>
        </w:tc>
        <w:tc>
          <w:tcPr>
            <w:tcW w:w="122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Arial" w:hAnsi="Arial" w:eastAsia="仿宋_GB2312" w:cs="Arial"/>
                <w:kern w:val="0"/>
                <w:sz w:val="21"/>
                <w:szCs w:val="21"/>
                <w:lang w:val="en-US" w:eastAsia="zh-CN"/>
              </w:rPr>
              <w:t>≥90%</w:t>
            </w:r>
          </w:p>
        </w:tc>
        <w:tc>
          <w:tcPr>
            <w:tcW w:w="84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96%</w:t>
            </w:r>
          </w:p>
        </w:tc>
        <w:tc>
          <w:tcPr>
            <w:tcW w:w="56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30</w:t>
            </w:r>
          </w:p>
        </w:tc>
        <w:tc>
          <w:tcPr>
            <w:tcW w:w="56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29</w:t>
            </w:r>
          </w:p>
        </w:tc>
        <w:tc>
          <w:tcPr>
            <w:tcW w:w="179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110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时效指标</w:t>
            </w:r>
          </w:p>
        </w:tc>
        <w:tc>
          <w:tcPr>
            <w:tcW w:w="176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年内准时完成</w:t>
            </w:r>
          </w:p>
        </w:tc>
        <w:tc>
          <w:tcPr>
            <w:tcW w:w="122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优良</w:t>
            </w:r>
          </w:p>
        </w:tc>
        <w:tc>
          <w:tcPr>
            <w:tcW w:w="84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lang w:eastAsia="zh-CN"/>
              </w:rPr>
            </w:pPr>
            <w:r>
              <w:rPr>
                <w:rFonts w:hint="eastAsia" w:ascii="仿宋_GB2312" w:hAnsi="宋体" w:eastAsia="仿宋_GB2312" w:cs="宋体"/>
                <w:kern w:val="0"/>
                <w:sz w:val="21"/>
                <w:szCs w:val="21"/>
                <w:lang w:eastAsia="zh-CN"/>
              </w:rPr>
              <w:t>优</w:t>
            </w:r>
          </w:p>
        </w:tc>
        <w:tc>
          <w:tcPr>
            <w:tcW w:w="56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w:t>
            </w:r>
          </w:p>
        </w:tc>
        <w:tc>
          <w:tcPr>
            <w:tcW w:w="56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w:t>
            </w:r>
          </w:p>
        </w:tc>
        <w:tc>
          <w:tcPr>
            <w:tcW w:w="179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56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110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成本指标</w:t>
            </w:r>
          </w:p>
        </w:tc>
        <w:tc>
          <w:tcPr>
            <w:tcW w:w="176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项目预算控制</w:t>
            </w:r>
            <w:r>
              <w:rPr>
                <w:rFonts w:hint="eastAsia"/>
              </w:rPr>
              <w:t>数</w:t>
            </w:r>
          </w:p>
        </w:tc>
        <w:tc>
          <w:tcPr>
            <w:tcW w:w="122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rPr>
              <w:t>≤</w:t>
            </w:r>
            <w:r>
              <w:rPr>
                <w:rFonts w:hint="eastAsia" w:ascii="仿宋_GB2312" w:hAnsi="宋体" w:eastAsia="仿宋_GB2312" w:cs="宋体"/>
                <w:kern w:val="0"/>
                <w:sz w:val="21"/>
                <w:szCs w:val="21"/>
                <w:lang w:val="en-US" w:eastAsia="zh-CN"/>
              </w:rPr>
              <w:t>10.6万</w:t>
            </w:r>
          </w:p>
        </w:tc>
        <w:tc>
          <w:tcPr>
            <w:tcW w:w="84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10.20986万</w:t>
            </w:r>
          </w:p>
        </w:tc>
        <w:tc>
          <w:tcPr>
            <w:tcW w:w="56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20</w:t>
            </w:r>
          </w:p>
        </w:tc>
        <w:tc>
          <w:tcPr>
            <w:tcW w:w="56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20</w:t>
            </w:r>
          </w:p>
        </w:tc>
        <w:tc>
          <w:tcPr>
            <w:tcW w:w="179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46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效益指标</w:t>
            </w:r>
          </w:p>
        </w:tc>
        <w:tc>
          <w:tcPr>
            <w:tcW w:w="110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可持续影响指标</w:t>
            </w:r>
          </w:p>
        </w:tc>
        <w:tc>
          <w:tcPr>
            <w:tcW w:w="176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课题研究成果应用</w:t>
            </w:r>
          </w:p>
        </w:tc>
        <w:tc>
          <w:tcPr>
            <w:tcW w:w="122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lang w:eastAsia="zh-CN"/>
              </w:rPr>
            </w:pPr>
            <w:r>
              <w:rPr>
                <w:rFonts w:hint="eastAsia" w:ascii="仿宋_GB2312" w:hAnsi="宋体" w:eastAsia="仿宋_GB2312" w:cs="宋体"/>
                <w:kern w:val="0"/>
                <w:sz w:val="21"/>
                <w:szCs w:val="21"/>
                <w:lang w:eastAsia="zh-CN"/>
              </w:rPr>
              <w:t>优良</w:t>
            </w:r>
          </w:p>
        </w:tc>
        <w:tc>
          <w:tcPr>
            <w:tcW w:w="84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lang w:eastAsia="zh-CN"/>
              </w:rPr>
            </w:pPr>
            <w:r>
              <w:rPr>
                <w:rFonts w:hint="eastAsia" w:ascii="仿宋_GB2312" w:hAnsi="宋体" w:eastAsia="仿宋_GB2312" w:cs="宋体"/>
                <w:kern w:val="0"/>
                <w:sz w:val="21"/>
                <w:szCs w:val="21"/>
                <w:lang w:eastAsia="zh-CN"/>
              </w:rPr>
              <w:t>优</w:t>
            </w:r>
          </w:p>
        </w:tc>
        <w:tc>
          <w:tcPr>
            <w:tcW w:w="56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30</w:t>
            </w:r>
          </w:p>
        </w:tc>
        <w:tc>
          <w:tcPr>
            <w:tcW w:w="56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29</w:t>
            </w:r>
          </w:p>
        </w:tc>
        <w:tc>
          <w:tcPr>
            <w:tcW w:w="179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477" w:hRule="exact"/>
          <w:jc w:val="center"/>
        </w:trPr>
        <w:tc>
          <w:tcPr>
            <w:tcW w:w="6499"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总分</w:t>
            </w:r>
          </w:p>
        </w:tc>
        <w:tc>
          <w:tcPr>
            <w:tcW w:w="56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100</w:t>
            </w:r>
          </w:p>
        </w:tc>
        <w:tc>
          <w:tcPr>
            <w:tcW w:w="56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97</w:t>
            </w:r>
          </w:p>
        </w:tc>
        <w:tc>
          <w:tcPr>
            <w:tcW w:w="179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r>
    </w:tbl>
    <w:p>
      <w:pPr>
        <w:rPr>
          <w:rFonts w:hint="eastAsia" w:ascii="仿宋_GB2312" w:eastAsia="仿宋_GB2312"/>
          <w:vanish/>
          <w:sz w:val="32"/>
          <w:szCs w:val="32"/>
        </w:rPr>
      </w:pPr>
    </w:p>
    <w:p>
      <w:pPr>
        <w:widowControl/>
        <w:jc w:val="left"/>
        <w:rPr>
          <w:rFonts w:ascii="仿宋_GB2312" w:hAnsi="宋体" w:eastAsia="仿宋_GB2312" w:cs="宋体"/>
          <w:color w:val="000000"/>
          <w:kern w:val="0"/>
          <w:sz w:val="32"/>
          <w:szCs w:val="32"/>
        </w:rPr>
      </w:pPr>
    </w:p>
    <w:p>
      <w:pPr>
        <w:snapToGrid w:val="0"/>
        <w:spacing w:line="560" w:lineRule="exact"/>
        <w:ind w:firstLine="268" w:firstLineChars="128"/>
        <w:rPr>
          <w:rFonts w:hint="eastAsia" w:ascii="仿宋_GB2312" w:hAnsi="宋体" w:eastAsia="仿宋_GB2312" w:cs="宋体"/>
          <w:kern w:val="0"/>
          <w:sz w:val="21"/>
          <w:szCs w:val="21"/>
          <w:lang w:val="en-US" w:eastAsia="zh-CN"/>
        </w:rPr>
      </w:pPr>
    </w:p>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黑体"/>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v:textbox>
            </v:shape>
          </w:pict>
        </mc:Fallback>
      </mc:AlternateConten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1ODYzYzNmMzk1NGNkY2FjMGVhNWI0ZDc2YWVmNzkifQ=="/>
  </w:docVars>
  <w:rsids>
    <w:rsidRoot w:val="F77F09F4"/>
    <w:rsid w:val="01800B93"/>
    <w:rsid w:val="0ECF9C51"/>
    <w:rsid w:val="14330714"/>
    <w:rsid w:val="1D2D7CA5"/>
    <w:rsid w:val="207E1C7F"/>
    <w:rsid w:val="37173543"/>
    <w:rsid w:val="3FF76880"/>
    <w:rsid w:val="484B6570"/>
    <w:rsid w:val="4C3F4999"/>
    <w:rsid w:val="5E0A1908"/>
    <w:rsid w:val="6BBF7485"/>
    <w:rsid w:val="6CAC115A"/>
    <w:rsid w:val="78EF0B61"/>
    <w:rsid w:val="7AB7FF50"/>
    <w:rsid w:val="7BFEB0DB"/>
    <w:rsid w:val="7FFF3306"/>
    <w:rsid w:val="C36F37B1"/>
    <w:rsid w:val="CEFD3F3D"/>
    <w:rsid w:val="EA3F77F2"/>
    <w:rsid w:val="EEFE5989"/>
    <w:rsid w:val="EFCF3EAE"/>
    <w:rsid w:val="F5B764A2"/>
    <w:rsid w:val="F77F09F4"/>
    <w:rsid w:val="FFD7B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autoRedefine/>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3">
    <w:name w:val="footer"/>
    <w:basedOn w:val="1"/>
    <w:autoRedefine/>
    <w:qFormat/>
    <w:uiPriority w:val="99"/>
    <w:pPr>
      <w:tabs>
        <w:tab w:val="center" w:pos="4153"/>
        <w:tab w:val="right" w:pos="8306"/>
      </w:tabs>
      <w:snapToGrid w:val="0"/>
      <w:jc w:val="left"/>
    </w:pPr>
    <w:rPr>
      <w:sz w:val="18"/>
      <w:szCs w:val="20"/>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page number"/>
    <w:basedOn w:val="6"/>
    <w:autoRedefine/>
    <w:qFormat/>
    <w:uiPriority w:val="0"/>
  </w:style>
  <w:style w:type="paragraph" w:customStyle="1" w:styleId="8">
    <w:name w:val="列出段落1"/>
    <w:basedOn w:val="1"/>
    <w:autoRedefine/>
    <w:qFormat/>
    <w:uiPriority w:val="34"/>
    <w:pPr>
      <w:ind w:firstLine="420" w:firstLineChars="200"/>
    </w:pPr>
    <w:rPr>
      <w:rFonts w:ascii="Calibri" w:hAnsi="Calibri" w:cs="黑体"/>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2022-03-10T19:16:00Z</dcterms:created>
  <dc:creator>user</dc:creator>
  <cp:lastModifiedBy>winnie庚</cp:lastModifiedBy>
  <cp:lastPrinted>2024-04-26T00:42:00Z</cp:lastPrinted>
  <dcterms:modified xsi:type="dcterms:W3CDTF">2024-05-05T23:51:25Z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482C7752E9F94313B899B9539D3A0720_13</vt:lpwstr>
  </property>
</Properties>
</file>