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C26" w:rsidRDefault="00FC18C4" w:rsidP="0024649D">
      <w:pPr>
        <w:spacing w:beforeLines="100" w:line="360" w:lineRule="auto"/>
        <w:jc w:val="center"/>
        <w:rPr>
          <w:rFonts w:ascii="方正小标宋简体" w:eastAsia="方正小标宋简体"/>
          <w:sz w:val="52"/>
          <w:szCs w:val="52"/>
        </w:rPr>
      </w:pPr>
      <w:r>
        <w:rPr>
          <w:rFonts w:ascii="方正小标宋简体" w:eastAsia="方正小标宋简体" w:hint="eastAsia"/>
          <w:sz w:val="52"/>
          <w:szCs w:val="52"/>
        </w:rPr>
        <w:t>北京市公园管理中心</w:t>
      </w:r>
    </w:p>
    <w:p w:rsidR="00C40C26" w:rsidRDefault="00FC18C4">
      <w:pPr>
        <w:spacing w:line="360" w:lineRule="auto"/>
        <w:jc w:val="center"/>
        <w:rPr>
          <w:rFonts w:ascii="方正小标宋简体" w:eastAsia="方正小标宋简体"/>
          <w:sz w:val="52"/>
          <w:szCs w:val="52"/>
        </w:rPr>
      </w:pPr>
      <w:r>
        <w:rPr>
          <w:rFonts w:ascii="方正小标宋简体" w:eastAsia="方正小标宋简体" w:hint="eastAsia"/>
          <w:sz w:val="52"/>
          <w:szCs w:val="52"/>
        </w:rPr>
        <w:t>2023年部门整体绩效评价报告</w:t>
      </w:r>
    </w:p>
    <w:p w:rsidR="00C40C26" w:rsidRDefault="00C40C26">
      <w:pPr>
        <w:jc w:val="center"/>
        <w:rPr>
          <w:rFonts w:ascii="方正小标宋简体" w:eastAsia="方正小标宋简体"/>
          <w:sz w:val="36"/>
          <w:szCs w:val="36"/>
        </w:rPr>
      </w:pPr>
    </w:p>
    <w:p w:rsidR="00C40C26" w:rsidRDefault="00C40C26">
      <w:pPr>
        <w:pStyle w:val="a0"/>
        <w:ind w:firstLine="420"/>
      </w:pPr>
    </w:p>
    <w:p w:rsidR="00C40C26" w:rsidRDefault="00FC18C4">
      <w:pPr>
        <w:spacing w:line="360" w:lineRule="auto"/>
        <w:ind w:firstLineChars="200" w:firstLine="640"/>
        <w:rPr>
          <w:rFonts w:ascii="楷体_GB2312" w:eastAsia="楷体_GB2312"/>
          <w:sz w:val="32"/>
          <w:szCs w:val="32"/>
        </w:rPr>
      </w:pPr>
      <w:r>
        <w:rPr>
          <w:rFonts w:ascii="楷体_GB2312" w:eastAsia="楷体_GB2312" w:hint="eastAsia"/>
          <w:sz w:val="32"/>
          <w:szCs w:val="32"/>
        </w:rPr>
        <w:t>一、部门概况</w:t>
      </w:r>
    </w:p>
    <w:p w:rsidR="00C40C26" w:rsidRDefault="00FC18C4">
      <w:pPr>
        <w:spacing w:line="360" w:lineRule="auto"/>
        <w:ind w:firstLineChars="200" w:firstLine="640"/>
        <w:rPr>
          <w:rFonts w:ascii="楷体_GB2312" w:eastAsia="楷体_GB2312"/>
          <w:sz w:val="32"/>
          <w:szCs w:val="32"/>
        </w:rPr>
      </w:pPr>
      <w:r>
        <w:rPr>
          <w:rFonts w:ascii="楷体_GB2312" w:eastAsia="楷体_GB2312" w:hint="eastAsia"/>
          <w:sz w:val="32"/>
          <w:szCs w:val="32"/>
        </w:rPr>
        <w:t>（一）机构设置及职责工作任务情况</w:t>
      </w:r>
    </w:p>
    <w:p w:rsidR="00C40C26" w:rsidRDefault="00FC18C4">
      <w:pPr>
        <w:spacing w:line="360" w:lineRule="auto"/>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w:t>
      </w:r>
      <w:r>
        <w:rPr>
          <w:rFonts w:ascii="仿宋_GB2312" w:eastAsia="仿宋_GB2312" w:hint="eastAsia"/>
          <w:sz w:val="32"/>
          <w:szCs w:val="32"/>
        </w:rPr>
        <w:t>本部门性质、职责</w:t>
      </w:r>
    </w:p>
    <w:p w:rsidR="00C40C26" w:rsidRDefault="00FC18C4">
      <w:pPr>
        <w:spacing w:line="360" w:lineRule="auto"/>
        <w:ind w:firstLineChars="200" w:firstLine="640"/>
        <w:rPr>
          <w:rFonts w:ascii="仿宋_GB2312" w:eastAsia="仿宋_GB2312"/>
          <w:sz w:val="32"/>
          <w:szCs w:val="32"/>
        </w:rPr>
      </w:pPr>
      <w:r>
        <w:rPr>
          <w:rFonts w:ascii="仿宋_GB2312" w:eastAsia="仿宋_GB2312" w:hint="eastAsia"/>
          <w:sz w:val="32"/>
          <w:szCs w:val="32"/>
        </w:rPr>
        <w:t>2018年12月17日中共北京市委机构编制委员会办公室下发文件《中共北京市委机构编制委员会办公室关于调整北京市公园管理中心隶属关系和机构规格的通知》(京编办发[2018]28号)，将北京市公园管理中心调整为市园林绿化局归口管理的事业单位，机构规格调整为相当副局级。市公园管理中心负责市属公园及其他所属机构人、财、物管理。负责市属公园和其他所属机构的规划、建设、管理、保护、服务、科技工作，并实施监督，以及财务管理审计、劳动人事、安全保卫等工作。</w:t>
      </w:r>
    </w:p>
    <w:p w:rsidR="00C40C26" w:rsidRDefault="00FC18C4">
      <w:pPr>
        <w:spacing w:line="360" w:lineRule="auto"/>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w:t>
      </w:r>
      <w:r>
        <w:rPr>
          <w:rFonts w:ascii="仿宋_GB2312" w:eastAsia="仿宋_GB2312" w:hint="eastAsia"/>
          <w:sz w:val="32"/>
          <w:szCs w:val="32"/>
        </w:rPr>
        <w:t>机构设置</w:t>
      </w:r>
    </w:p>
    <w:p w:rsidR="00C40C26" w:rsidRDefault="00FC18C4">
      <w:pPr>
        <w:spacing w:line="360" w:lineRule="auto"/>
        <w:ind w:firstLineChars="200" w:firstLine="640"/>
        <w:rPr>
          <w:rFonts w:ascii="仿宋_GB2312" w:eastAsia="仿宋_GB2312"/>
          <w:sz w:val="32"/>
          <w:szCs w:val="32"/>
        </w:rPr>
      </w:pPr>
      <w:r>
        <w:rPr>
          <w:rFonts w:ascii="仿宋_GB2312" w:eastAsia="仿宋_GB2312" w:hint="eastAsia"/>
          <w:sz w:val="32"/>
          <w:szCs w:val="32"/>
        </w:rPr>
        <w:t>中心内设办公室、计划财务处、规划建设处、文物保护处、服务管理处、安全应急处、组织人事处、宣传处、科技处、审计处、党建工作处11个处室。下辖颐和园管理处、天坛公园管理处、北海公园管理处、景山公园管理处、</w:t>
      </w:r>
      <w:r>
        <w:rPr>
          <w:rFonts w:ascii="仿宋_GB2312" w:eastAsia="仿宋_GB2312" w:hint="eastAsia"/>
          <w:sz w:val="32"/>
          <w:szCs w:val="32"/>
        </w:rPr>
        <w:lastRenderedPageBreak/>
        <w:t>中山公园管理处、香山公园管理处、北京市植物园管理处、北京动物园管理处、紫竹院公园管理处、玉渊潭公园管理处、陶然亭公园管理处、中国园林博物馆北京筹备办公室、北京市园林学校、综合事务中心等14个直属单位。</w:t>
      </w:r>
    </w:p>
    <w:p w:rsidR="00C40C26" w:rsidRDefault="00FC18C4">
      <w:pPr>
        <w:spacing w:line="360" w:lineRule="auto"/>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Pr>
          <w:rFonts w:ascii="仿宋_GB2312" w:eastAsia="仿宋_GB2312" w:hint="eastAsia"/>
          <w:sz w:val="32"/>
          <w:szCs w:val="32"/>
        </w:rPr>
        <w:t>人员构成</w:t>
      </w:r>
    </w:p>
    <w:p w:rsidR="00C40C26" w:rsidRDefault="00FC18C4">
      <w:pPr>
        <w:spacing w:line="360" w:lineRule="auto"/>
        <w:ind w:firstLineChars="200" w:firstLine="640"/>
        <w:rPr>
          <w:rFonts w:ascii="仿宋_GB2312" w:eastAsia="仿宋_GB2312"/>
          <w:sz w:val="32"/>
          <w:szCs w:val="32"/>
        </w:rPr>
      </w:pPr>
      <w:r>
        <w:rPr>
          <w:rFonts w:ascii="仿宋_GB2312" w:eastAsia="仿宋_GB2312"/>
          <w:sz w:val="32"/>
          <w:szCs w:val="32"/>
        </w:rPr>
        <w:t>中心部门事业编制6</w:t>
      </w:r>
      <w:r>
        <w:rPr>
          <w:rFonts w:ascii="仿宋_GB2312" w:eastAsia="仿宋_GB2312" w:hint="eastAsia"/>
          <w:sz w:val="32"/>
          <w:szCs w:val="32"/>
        </w:rPr>
        <w:t>,</w:t>
      </w:r>
      <w:r>
        <w:rPr>
          <w:rFonts w:ascii="仿宋_GB2312" w:eastAsia="仿宋_GB2312"/>
          <w:sz w:val="32"/>
          <w:szCs w:val="32"/>
        </w:rPr>
        <w:t>794人，实有人数</w:t>
      </w:r>
      <w:r w:rsidR="001F1F94">
        <w:rPr>
          <w:rFonts w:ascii="仿宋_GB2312" w:eastAsia="仿宋_GB2312" w:hint="eastAsia"/>
          <w:sz w:val="32"/>
          <w:szCs w:val="32"/>
        </w:rPr>
        <w:t>5</w:t>
      </w:r>
      <w:r>
        <w:rPr>
          <w:rFonts w:ascii="仿宋_GB2312" w:eastAsia="仿宋_GB2312" w:hint="eastAsia"/>
          <w:sz w:val="32"/>
          <w:szCs w:val="32"/>
        </w:rPr>
        <w:t>,</w:t>
      </w:r>
      <w:r w:rsidR="001F1F94">
        <w:rPr>
          <w:rFonts w:ascii="仿宋_GB2312" w:eastAsia="仿宋_GB2312" w:hint="eastAsia"/>
          <w:sz w:val="32"/>
          <w:szCs w:val="32"/>
        </w:rPr>
        <w:t>99</w:t>
      </w:r>
      <w:r w:rsidR="0024649D">
        <w:rPr>
          <w:rFonts w:ascii="仿宋_GB2312" w:eastAsia="仿宋_GB2312" w:hint="eastAsia"/>
          <w:sz w:val="32"/>
          <w:szCs w:val="32"/>
        </w:rPr>
        <w:t>4</w:t>
      </w:r>
      <w:r>
        <w:rPr>
          <w:rFonts w:ascii="仿宋_GB2312" w:eastAsia="仿宋_GB2312"/>
          <w:sz w:val="32"/>
          <w:szCs w:val="32"/>
        </w:rPr>
        <w:t>人。离退休人员</w:t>
      </w:r>
      <w:r w:rsidR="001F1F94">
        <w:rPr>
          <w:rFonts w:ascii="仿宋_GB2312" w:eastAsia="仿宋_GB2312" w:hint="eastAsia"/>
          <w:sz w:val="32"/>
          <w:szCs w:val="32"/>
        </w:rPr>
        <w:t>1</w:t>
      </w:r>
      <w:r>
        <w:rPr>
          <w:rFonts w:ascii="仿宋_GB2312" w:eastAsia="仿宋_GB2312" w:hint="eastAsia"/>
          <w:sz w:val="32"/>
          <w:szCs w:val="32"/>
        </w:rPr>
        <w:t>,</w:t>
      </w:r>
      <w:r w:rsidR="001F1F94">
        <w:rPr>
          <w:rFonts w:ascii="仿宋_GB2312" w:eastAsia="仿宋_GB2312" w:hint="eastAsia"/>
          <w:sz w:val="32"/>
          <w:szCs w:val="32"/>
        </w:rPr>
        <w:t>199</w:t>
      </w:r>
      <w:r>
        <w:rPr>
          <w:rFonts w:ascii="仿宋_GB2312" w:eastAsia="仿宋_GB2312"/>
          <w:sz w:val="32"/>
          <w:szCs w:val="32"/>
        </w:rPr>
        <w:t>人，其中：离休3</w:t>
      </w:r>
      <w:r w:rsidR="001F1F94">
        <w:rPr>
          <w:rFonts w:ascii="仿宋_GB2312" w:eastAsia="仿宋_GB2312" w:hint="eastAsia"/>
          <w:sz w:val="32"/>
          <w:szCs w:val="32"/>
        </w:rPr>
        <w:t>3</w:t>
      </w:r>
      <w:r>
        <w:rPr>
          <w:rFonts w:ascii="仿宋_GB2312" w:eastAsia="仿宋_GB2312"/>
          <w:sz w:val="32"/>
          <w:szCs w:val="32"/>
        </w:rPr>
        <w:t>人，退休</w:t>
      </w:r>
      <w:r w:rsidR="001F1F94">
        <w:rPr>
          <w:rFonts w:ascii="仿宋_GB2312" w:eastAsia="仿宋_GB2312" w:hint="eastAsia"/>
          <w:sz w:val="32"/>
          <w:szCs w:val="32"/>
        </w:rPr>
        <w:t>1</w:t>
      </w:r>
      <w:r>
        <w:rPr>
          <w:rFonts w:ascii="仿宋_GB2312" w:eastAsia="仿宋_GB2312" w:hint="eastAsia"/>
          <w:sz w:val="32"/>
          <w:szCs w:val="32"/>
        </w:rPr>
        <w:t>,</w:t>
      </w:r>
      <w:r w:rsidR="001F1F94">
        <w:rPr>
          <w:rFonts w:ascii="仿宋_GB2312" w:eastAsia="仿宋_GB2312" w:hint="eastAsia"/>
          <w:sz w:val="32"/>
          <w:szCs w:val="32"/>
        </w:rPr>
        <w:t>166</w:t>
      </w:r>
      <w:r>
        <w:rPr>
          <w:rFonts w:ascii="仿宋_GB2312" w:eastAsia="仿宋_GB2312"/>
          <w:sz w:val="32"/>
          <w:szCs w:val="32"/>
        </w:rPr>
        <w:t>人。</w:t>
      </w:r>
    </w:p>
    <w:p w:rsidR="00C40C26" w:rsidRDefault="00FC18C4">
      <w:pPr>
        <w:spacing w:line="360" w:lineRule="auto"/>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sz w:val="32"/>
          <w:szCs w:val="32"/>
        </w:rPr>
        <w:t>.主要职责</w:t>
      </w:r>
    </w:p>
    <w:p w:rsidR="00C40C26" w:rsidRDefault="00FC18C4">
      <w:pPr>
        <w:pStyle w:val="a6"/>
        <w:numPr>
          <w:ilvl w:val="0"/>
          <w:numId w:val="1"/>
        </w:numPr>
        <w:spacing w:line="360" w:lineRule="auto"/>
        <w:ind w:left="0" w:firstLineChars="0" w:firstLine="567"/>
        <w:rPr>
          <w:rFonts w:ascii="仿宋_GB2312" w:eastAsia="仿宋_GB2312"/>
          <w:sz w:val="32"/>
          <w:szCs w:val="32"/>
        </w:rPr>
      </w:pPr>
      <w:r>
        <w:rPr>
          <w:rFonts w:ascii="仿宋_GB2312" w:eastAsia="仿宋_GB2312"/>
          <w:sz w:val="32"/>
          <w:szCs w:val="32"/>
        </w:rPr>
        <w:t>负责管理市属公园和所属机构，组织落实有关法律法规、政策措施、规章制度以及行业标准，并参与有关行业规划和标准的研究拟定工作。</w:t>
      </w:r>
    </w:p>
    <w:p w:rsidR="00C40C26" w:rsidRDefault="00FC18C4">
      <w:pPr>
        <w:pStyle w:val="a6"/>
        <w:numPr>
          <w:ilvl w:val="0"/>
          <w:numId w:val="1"/>
        </w:numPr>
        <w:spacing w:line="360" w:lineRule="auto"/>
        <w:ind w:left="0" w:firstLineChars="0" w:firstLine="567"/>
        <w:rPr>
          <w:rFonts w:ascii="仿宋_GB2312" w:eastAsia="仿宋_GB2312"/>
          <w:sz w:val="32"/>
          <w:szCs w:val="32"/>
        </w:rPr>
      </w:pPr>
      <w:r>
        <w:rPr>
          <w:rFonts w:ascii="仿宋_GB2312" w:eastAsia="仿宋_GB2312"/>
          <w:sz w:val="32"/>
          <w:szCs w:val="32"/>
        </w:rPr>
        <w:t>负责市属公园和所属机构管理方式、管理制度、运行机制等问题的研究，并提出对策建议。</w:t>
      </w:r>
    </w:p>
    <w:p w:rsidR="00C40C26" w:rsidRDefault="00FC18C4">
      <w:pPr>
        <w:pStyle w:val="a6"/>
        <w:numPr>
          <w:ilvl w:val="0"/>
          <w:numId w:val="1"/>
        </w:numPr>
        <w:spacing w:line="360" w:lineRule="auto"/>
        <w:ind w:left="0" w:firstLineChars="0" w:firstLine="567"/>
        <w:rPr>
          <w:rFonts w:ascii="仿宋_GB2312" w:eastAsia="仿宋_GB2312"/>
          <w:sz w:val="32"/>
          <w:szCs w:val="32"/>
        </w:rPr>
      </w:pPr>
      <w:r>
        <w:rPr>
          <w:rFonts w:ascii="仿宋_GB2312" w:eastAsia="仿宋_GB2312"/>
          <w:sz w:val="32"/>
          <w:szCs w:val="32"/>
        </w:rPr>
        <w:t>负责指导市属公园和所属机构规划、建设、管理、服务、科技等方面的工作，并监督实施。</w:t>
      </w:r>
    </w:p>
    <w:p w:rsidR="00C40C26" w:rsidRDefault="00FC18C4">
      <w:pPr>
        <w:pStyle w:val="a6"/>
        <w:numPr>
          <w:ilvl w:val="0"/>
          <w:numId w:val="1"/>
        </w:numPr>
        <w:spacing w:line="360" w:lineRule="auto"/>
        <w:ind w:left="0" w:firstLineChars="0" w:firstLine="567"/>
        <w:rPr>
          <w:rFonts w:ascii="仿宋_GB2312" w:eastAsia="仿宋_GB2312"/>
          <w:sz w:val="32"/>
          <w:szCs w:val="32"/>
        </w:rPr>
      </w:pPr>
      <w:r>
        <w:rPr>
          <w:rFonts w:ascii="仿宋_GB2312" w:eastAsia="仿宋_GB2312"/>
          <w:sz w:val="32"/>
          <w:szCs w:val="32"/>
        </w:rPr>
        <w:t>负责统筹调整和配置市属公园和所属机构国有资产，并对使用和处置进行监督管理;负责监督管理市属公园和所属机构固定资产投资项目的组织实施工作。</w:t>
      </w:r>
    </w:p>
    <w:p w:rsidR="00C40C26" w:rsidRDefault="00FC18C4">
      <w:pPr>
        <w:pStyle w:val="a6"/>
        <w:numPr>
          <w:ilvl w:val="0"/>
          <w:numId w:val="1"/>
        </w:numPr>
        <w:spacing w:line="360" w:lineRule="auto"/>
        <w:ind w:left="0" w:firstLineChars="0" w:firstLine="567"/>
        <w:rPr>
          <w:rFonts w:ascii="仿宋_GB2312" w:eastAsia="仿宋_GB2312"/>
          <w:sz w:val="32"/>
          <w:szCs w:val="32"/>
        </w:rPr>
      </w:pPr>
      <w:r>
        <w:rPr>
          <w:rFonts w:ascii="仿宋_GB2312" w:eastAsia="仿宋_GB2312"/>
          <w:sz w:val="32"/>
          <w:szCs w:val="32"/>
        </w:rPr>
        <w:t>负责市属公园和所属机构财务管理和审计工作。</w:t>
      </w:r>
    </w:p>
    <w:p w:rsidR="00C40C26" w:rsidRDefault="00FC18C4">
      <w:pPr>
        <w:pStyle w:val="a6"/>
        <w:numPr>
          <w:ilvl w:val="0"/>
          <w:numId w:val="1"/>
        </w:numPr>
        <w:spacing w:line="360" w:lineRule="auto"/>
        <w:ind w:left="0" w:firstLineChars="0" w:firstLine="567"/>
        <w:rPr>
          <w:rFonts w:ascii="仿宋_GB2312" w:eastAsia="仿宋_GB2312"/>
          <w:sz w:val="32"/>
          <w:szCs w:val="32"/>
        </w:rPr>
      </w:pPr>
      <w:r>
        <w:rPr>
          <w:rFonts w:ascii="仿宋_GB2312" w:eastAsia="仿宋_GB2312"/>
          <w:sz w:val="32"/>
          <w:szCs w:val="32"/>
        </w:rPr>
        <w:t>负责市属公园和所属机构的劳动、组织人事管理工作。</w:t>
      </w:r>
    </w:p>
    <w:p w:rsidR="00C40C26" w:rsidRDefault="00FC18C4">
      <w:pPr>
        <w:pStyle w:val="a6"/>
        <w:numPr>
          <w:ilvl w:val="0"/>
          <w:numId w:val="1"/>
        </w:numPr>
        <w:spacing w:line="360" w:lineRule="auto"/>
        <w:ind w:left="0" w:firstLineChars="0" w:firstLine="567"/>
        <w:rPr>
          <w:rFonts w:ascii="仿宋_GB2312" w:eastAsia="仿宋_GB2312"/>
          <w:sz w:val="32"/>
          <w:szCs w:val="32"/>
        </w:rPr>
      </w:pPr>
      <w:r>
        <w:rPr>
          <w:rFonts w:ascii="仿宋_GB2312" w:eastAsia="仿宋_GB2312"/>
          <w:sz w:val="32"/>
          <w:szCs w:val="32"/>
        </w:rPr>
        <w:t>负责市属公园和所属机构安全生产、安全保卫、</w:t>
      </w:r>
      <w:r>
        <w:rPr>
          <w:rFonts w:ascii="仿宋_GB2312" w:eastAsia="仿宋_GB2312"/>
          <w:sz w:val="32"/>
          <w:szCs w:val="32"/>
        </w:rPr>
        <w:lastRenderedPageBreak/>
        <w:t>消防和社会治安综合治理工作。</w:t>
      </w:r>
    </w:p>
    <w:p w:rsidR="00C40C26" w:rsidRDefault="00FC18C4">
      <w:pPr>
        <w:pStyle w:val="a6"/>
        <w:numPr>
          <w:ilvl w:val="0"/>
          <w:numId w:val="1"/>
        </w:numPr>
        <w:spacing w:line="360" w:lineRule="auto"/>
        <w:ind w:left="0" w:firstLineChars="0" w:firstLine="567"/>
        <w:rPr>
          <w:rFonts w:ascii="仿宋_GB2312" w:eastAsia="仿宋_GB2312"/>
          <w:sz w:val="32"/>
          <w:szCs w:val="32"/>
        </w:rPr>
      </w:pPr>
      <w:r>
        <w:rPr>
          <w:rFonts w:ascii="仿宋_GB2312" w:eastAsia="仿宋_GB2312"/>
          <w:sz w:val="32"/>
          <w:szCs w:val="32"/>
        </w:rPr>
        <w:t>负责市属公园和所属机构党群工作，精神文明建设和维护稳定等方面的工作。</w:t>
      </w:r>
    </w:p>
    <w:p w:rsidR="00C40C26" w:rsidRDefault="00FC18C4">
      <w:pPr>
        <w:pStyle w:val="a6"/>
        <w:numPr>
          <w:ilvl w:val="0"/>
          <w:numId w:val="1"/>
        </w:numPr>
        <w:spacing w:line="360" w:lineRule="auto"/>
        <w:ind w:left="0" w:firstLineChars="0" w:firstLine="567"/>
        <w:rPr>
          <w:rFonts w:ascii="仿宋_GB2312" w:eastAsia="仿宋_GB2312"/>
          <w:sz w:val="32"/>
          <w:szCs w:val="32"/>
        </w:rPr>
      </w:pPr>
      <w:r>
        <w:rPr>
          <w:rFonts w:ascii="仿宋_GB2312" w:eastAsia="仿宋_GB2312"/>
          <w:sz w:val="32"/>
          <w:szCs w:val="32"/>
        </w:rPr>
        <w:t>承办市政府交办的其他事项。</w:t>
      </w:r>
    </w:p>
    <w:p w:rsidR="00C40C26" w:rsidRDefault="00FC18C4">
      <w:pPr>
        <w:spacing w:line="360" w:lineRule="auto"/>
        <w:ind w:firstLineChars="200" w:firstLine="640"/>
        <w:rPr>
          <w:rFonts w:ascii="楷体_GB2312" w:eastAsia="楷体_GB2312"/>
          <w:sz w:val="32"/>
          <w:szCs w:val="32"/>
        </w:rPr>
      </w:pPr>
      <w:r>
        <w:rPr>
          <w:rFonts w:ascii="楷体_GB2312" w:eastAsia="楷体_GB2312" w:hint="eastAsia"/>
          <w:sz w:val="32"/>
          <w:szCs w:val="32"/>
        </w:rPr>
        <w:t>（二）部门整体绩效目标设立情况</w:t>
      </w:r>
    </w:p>
    <w:p w:rsidR="00C40C26" w:rsidRDefault="00FC18C4">
      <w:pPr>
        <w:spacing w:line="360" w:lineRule="auto"/>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工作目标及任务</w:t>
      </w:r>
    </w:p>
    <w:p w:rsidR="00C40C26" w:rsidRDefault="00FC18C4">
      <w:pPr>
        <w:spacing w:line="360" w:lineRule="auto"/>
        <w:ind w:firstLineChars="200" w:firstLine="640"/>
        <w:rPr>
          <w:rFonts w:ascii="仿宋_GB2312" w:eastAsia="仿宋_GB2312"/>
          <w:sz w:val="32"/>
          <w:szCs w:val="32"/>
        </w:rPr>
      </w:pPr>
      <w:r>
        <w:rPr>
          <w:rFonts w:ascii="仿宋_GB2312" w:eastAsia="仿宋_GB2312" w:hint="eastAsia"/>
          <w:sz w:val="32"/>
          <w:szCs w:val="32"/>
        </w:rPr>
        <w:t>中心</w:t>
      </w:r>
      <w:r>
        <w:rPr>
          <w:rFonts w:ascii="仿宋_GB2312" w:eastAsia="仿宋_GB2312"/>
          <w:sz w:val="32"/>
          <w:szCs w:val="32"/>
        </w:rPr>
        <w:t>结合部门职责、</w:t>
      </w:r>
      <w:r>
        <w:rPr>
          <w:rFonts w:ascii="仿宋_GB2312" w:eastAsia="仿宋_GB2312" w:hint="eastAsia"/>
          <w:sz w:val="32"/>
          <w:szCs w:val="32"/>
        </w:rPr>
        <w:t>“十四五”时期事业发展规划纲要以及2023年度重点工作任务</w:t>
      </w:r>
      <w:r>
        <w:rPr>
          <w:rFonts w:ascii="仿宋_GB2312" w:eastAsia="仿宋_GB2312"/>
          <w:sz w:val="32"/>
          <w:szCs w:val="32"/>
        </w:rPr>
        <w:t>，</w:t>
      </w:r>
      <w:r>
        <w:rPr>
          <w:rFonts w:ascii="仿宋_GB2312" w:eastAsia="仿宋_GB2312" w:hint="eastAsia"/>
          <w:sz w:val="32"/>
          <w:szCs w:val="32"/>
        </w:rPr>
        <w:t>编制</w:t>
      </w:r>
      <w:r>
        <w:rPr>
          <w:rFonts w:ascii="仿宋_GB2312" w:eastAsia="仿宋_GB2312"/>
          <w:sz w:val="32"/>
          <w:szCs w:val="32"/>
        </w:rPr>
        <w:t>了《</w:t>
      </w:r>
      <w:r>
        <w:rPr>
          <w:rFonts w:ascii="仿宋_GB2312" w:eastAsia="仿宋_GB2312" w:hint="eastAsia"/>
          <w:sz w:val="32"/>
          <w:szCs w:val="32"/>
        </w:rPr>
        <w:t>2023</w:t>
      </w:r>
      <w:r>
        <w:rPr>
          <w:rFonts w:ascii="仿宋_GB2312" w:eastAsia="仿宋_GB2312"/>
          <w:sz w:val="32"/>
          <w:szCs w:val="32"/>
        </w:rPr>
        <w:t>年部门整体支出绩效目标申报表》，明确了</w:t>
      </w:r>
      <w:r>
        <w:rPr>
          <w:rFonts w:ascii="仿宋_GB2312" w:eastAsia="仿宋_GB2312" w:hint="eastAsia"/>
          <w:sz w:val="32"/>
          <w:szCs w:val="32"/>
        </w:rPr>
        <w:t>2023年度</w:t>
      </w:r>
      <w:r>
        <w:rPr>
          <w:rFonts w:ascii="仿宋_GB2312" w:eastAsia="仿宋_GB2312"/>
          <w:sz w:val="32"/>
          <w:szCs w:val="32"/>
        </w:rPr>
        <w:t>部门总体绩效目标</w:t>
      </w:r>
      <w:r>
        <w:rPr>
          <w:rFonts w:ascii="仿宋_GB2312" w:eastAsia="仿宋_GB2312" w:hint="eastAsia"/>
          <w:sz w:val="32"/>
          <w:szCs w:val="32"/>
        </w:rPr>
        <w:t>。</w:t>
      </w:r>
    </w:p>
    <w:p w:rsidR="00C40C26" w:rsidRDefault="00FC18C4">
      <w:pPr>
        <w:spacing w:line="360" w:lineRule="auto"/>
        <w:ind w:firstLineChars="200" w:firstLine="640"/>
        <w:rPr>
          <w:rFonts w:ascii="仿宋_GB2312" w:eastAsia="仿宋_GB2312"/>
          <w:sz w:val="32"/>
          <w:szCs w:val="32"/>
        </w:rPr>
      </w:pPr>
      <w:r>
        <w:rPr>
          <w:rFonts w:ascii="仿宋_GB2312" w:eastAsia="仿宋_GB2312" w:hint="eastAsia"/>
          <w:sz w:val="32"/>
          <w:szCs w:val="32"/>
        </w:rPr>
        <w:t>2023年度</w:t>
      </w:r>
      <w:r>
        <w:rPr>
          <w:rFonts w:ascii="仿宋_GB2312" w:eastAsia="仿宋_GB2312"/>
          <w:sz w:val="32"/>
          <w:szCs w:val="32"/>
        </w:rPr>
        <w:t>部门总体绩效目标</w:t>
      </w:r>
      <w:r>
        <w:rPr>
          <w:rFonts w:ascii="仿宋_GB2312" w:eastAsia="仿宋_GB2312" w:hint="eastAsia"/>
          <w:sz w:val="32"/>
          <w:szCs w:val="32"/>
        </w:rPr>
        <w:t>坚持以习近平新时代中国特色社会主义思想为指导，</w:t>
      </w:r>
      <w:r>
        <w:rPr>
          <w:rFonts w:ascii="仿宋_GB2312" w:eastAsia="仿宋_GB2312" w:hAnsi="仿宋_GB2312" w:cs="仿宋_GB2312" w:hint="eastAsia"/>
          <w:sz w:val="32"/>
          <w:szCs w:val="32"/>
        </w:rPr>
        <w:t>在市委市政府坚强领导下，在市园林绿化局归口管理下，</w:t>
      </w:r>
      <w:r>
        <w:rPr>
          <w:rFonts w:ascii="仿宋_GB2312" w:eastAsia="仿宋_GB2312" w:hint="eastAsia"/>
          <w:sz w:val="32"/>
          <w:szCs w:val="32"/>
        </w:rPr>
        <w:t>全面贯彻落实党的二十大精神，</w:t>
      </w:r>
      <w:r>
        <w:rPr>
          <w:rFonts w:ascii="仿宋_GB2312" w:eastAsia="仿宋_GB2312"/>
          <w:sz w:val="32"/>
          <w:szCs w:val="32"/>
        </w:rPr>
        <w:t>深入贯彻习近平总书记对北京重要讲话精神，</w:t>
      </w:r>
      <w:r>
        <w:rPr>
          <w:rFonts w:ascii="仿宋_GB2312" w:eastAsia="仿宋_GB2312" w:hint="eastAsia"/>
          <w:sz w:val="32"/>
          <w:szCs w:val="32"/>
        </w:rPr>
        <w:t>扎实推进学习贯彻习近平新时代中国特色社会主义思想主题教育，围绕</w:t>
      </w:r>
      <w:r>
        <w:rPr>
          <w:rFonts w:ascii="仿宋_GB2312" w:eastAsia="仿宋_GB2312" w:hAnsi="仿宋_GB2312" w:cs="仿宋_GB2312"/>
          <w:sz w:val="32"/>
          <w:szCs w:val="32"/>
        </w:rPr>
        <w:t>抓党建、强能力、优服务、</w:t>
      </w:r>
      <w:r>
        <w:rPr>
          <w:rFonts w:ascii="仿宋_GB2312" w:eastAsia="仿宋_GB2312" w:hAnsi="仿宋_GB2312" w:cs="仿宋_GB2312" w:hint="eastAsia"/>
          <w:sz w:val="32"/>
          <w:szCs w:val="32"/>
        </w:rPr>
        <w:t>筑安全、暖经济工作思路，把握文旅市场全面复苏态势，大力推进</w:t>
      </w:r>
      <w:r>
        <w:rPr>
          <w:rFonts w:ascii="仿宋_GB2312" w:eastAsia="仿宋_GB2312" w:hAnsi="仿宋_GB2312" w:cs="仿宋_GB2312"/>
          <w:sz w:val="32"/>
          <w:szCs w:val="32"/>
        </w:rPr>
        <w:t>“四优一满意”公园精品建设</w:t>
      </w:r>
      <w:r>
        <w:rPr>
          <w:rFonts w:ascii="仿宋_GB2312" w:eastAsia="仿宋_GB2312" w:hAnsi="仿宋_GB2312" w:cs="仿宋_GB2312" w:hint="eastAsia"/>
          <w:sz w:val="32"/>
          <w:szCs w:val="32"/>
        </w:rPr>
        <w:t>；打造良好生态环境，提高游客接待量，高质量完成“一带一路”集中接待；高质量完成市级重点任务。</w:t>
      </w:r>
    </w:p>
    <w:p w:rsidR="00C40C26" w:rsidRDefault="00FC18C4">
      <w:pPr>
        <w:spacing w:line="360" w:lineRule="auto"/>
        <w:ind w:firstLineChars="200" w:firstLine="640"/>
        <w:rPr>
          <w:rFonts w:ascii="仿宋_GB2312" w:eastAsia="仿宋_GB2312"/>
          <w:sz w:val="32"/>
          <w:szCs w:val="32"/>
        </w:rPr>
      </w:pPr>
      <w:r>
        <w:rPr>
          <w:rFonts w:ascii="仿宋_GB2312" w:eastAsia="仿宋_GB2312" w:hint="eastAsia"/>
          <w:sz w:val="32"/>
          <w:szCs w:val="32"/>
        </w:rPr>
        <w:t>（1）抓党建。始终把党的建设摆在突出位置，完善全面从严治党，围绕“学思想、强党性、重实践、建新功” 总要求，抓好党员教育培训，强化问题互查互评、自查自</w:t>
      </w:r>
      <w:r>
        <w:rPr>
          <w:rFonts w:ascii="仿宋_GB2312" w:eastAsia="仿宋_GB2312" w:hint="eastAsia"/>
          <w:sz w:val="32"/>
          <w:szCs w:val="32"/>
        </w:rPr>
        <w:lastRenderedPageBreak/>
        <w:t>纠，完成机关支部换届选举和规范设置。加强党委对统战、群团工作组织领导，深化离退休干部党的建设。同时发挥工会桥梁纽带作用，广泛开展送温暖活动，职工归属感凝聚力进一步增强。</w:t>
      </w:r>
    </w:p>
    <w:p w:rsidR="00C40C26" w:rsidRDefault="00FC18C4">
      <w:pPr>
        <w:spacing w:line="360" w:lineRule="auto"/>
        <w:ind w:firstLineChars="200" w:firstLine="640"/>
        <w:rPr>
          <w:rFonts w:ascii="仿宋_GB2312" w:eastAsia="仿宋_GB2312"/>
          <w:sz w:val="32"/>
          <w:szCs w:val="32"/>
        </w:rPr>
      </w:pPr>
      <w:r>
        <w:rPr>
          <w:rFonts w:ascii="仿宋_GB2312" w:eastAsia="仿宋_GB2312" w:hint="eastAsia"/>
          <w:sz w:val="32"/>
          <w:szCs w:val="32"/>
        </w:rPr>
        <w:t>（2）强能力。强化班子和人才队伍的建设，坚持党的全面领导，始终站在全市大局谋划工作、科学决策，把握正确方向，精准统筹调度，盯住重点难点狠抓落实。修订“三重一大”事项集体决策实施办法，落实集体议决重要事项，加强人才培养，系统外挂职锻炼，提升干部履职尽责能力，夯实党员素质基础，培育良好的政治风气。</w:t>
      </w:r>
    </w:p>
    <w:p w:rsidR="00C40C26" w:rsidRDefault="00FC18C4">
      <w:pPr>
        <w:spacing w:line="360" w:lineRule="auto"/>
        <w:ind w:firstLineChars="200" w:firstLine="640"/>
        <w:rPr>
          <w:rFonts w:ascii="仿宋_GB2312" w:eastAsia="仿宋_GB2312"/>
          <w:sz w:val="32"/>
          <w:szCs w:val="32"/>
        </w:rPr>
      </w:pPr>
      <w:r>
        <w:rPr>
          <w:rFonts w:ascii="仿宋_GB2312" w:eastAsia="仿宋_GB2312" w:hint="eastAsia"/>
          <w:sz w:val="32"/>
          <w:szCs w:val="32"/>
        </w:rPr>
        <w:t>（3）优服务。通过传播公园特色文化，利用各园优势大力弘扬传统文化，逐步显现品牌效应，提升惠民服务品质，推出便民暖心新举措及畅游贴心服务，紧盯“四优一满意”目标，打造智慧化公园，提升游客满意度。</w:t>
      </w:r>
    </w:p>
    <w:p w:rsidR="00C40C26" w:rsidRDefault="00FC18C4">
      <w:pPr>
        <w:spacing w:line="360" w:lineRule="auto"/>
        <w:ind w:firstLineChars="200" w:firstLine="640"/>
        <w:rPr>
          <w:rFonts w:ascii="仿宋_GB2312" w:eastAsia="仿宋_GB2312" w:hAnsi="仿宋_GB2312" w:cs="仿宋_GB2312"/>
          <w:sz w:val="32"/>
          <w:szCs w:val="32"/>
        </w:rPr>
      </w:pPr>
      <w:r>
        <w:rPr>
          <w:rFonts w:ascii="仿宋_GB2312" w:eastAsia="仿宋_GB2312" w:hint="eastAsia"/>
          <w:sz w:val="32"/>
          <w:szCs w:val="32"/>
        </w:rPr>
        <w:t>（</w:t>
      </w:r>
      <w:r>
        <w:rPr>
          <w:rFonts w:ascii="仿宋_GB2312" w:eastAsia="仿宋_GB2312"/>
          <w:sz w:val="32"/>
          <w:szCs w:val="32"/>
        </w:rPr>
        <w:t>4</w:t>
      </w:r>
      <w:r>
        <w:rPr>
          <w:rFonts w:ascii="仿宋_GB2312" w:eastAsia="仿宋_GB2312" w:hint="eastAsia"/>
          <w:sz w:val="32"/>
          <w:szCs w:val="32"/>
        </w:rPr>
        <w:t>）筑安全。严格“三管三必须”要求，出台安全生产职责分工规定及安全管理制度汇编，创新制定“一清单八专项”责任台账。全面开展安全生产大排查大整治，</w:t>
      </w:r>
      <w:r>
        <w:rPr>
          <w:rFonts w:ascii="仿宋_GB2312" w:eastAsia="仿宋_GB2312" w:hAnsi="仿宋_GB2312" w:cs="仿宋_GB2312" w:hint="eastAsia"/>
          <w:sz w:val="32"/>
          <w:szCs w:val="32"/>
        </w:rPr>
        <w:t>开展应急救护技能培训，加强突发情况应对能力。</w:t>
      </w:r>
    </w:p>
    <w:p w:rsidR="00C40C26" w:rsidRDefault="00FC18C4">
      <w:pPr>
        <w:spacing w:line="360" w:lineRule="auto"/>
        <w:ind w:firstLineChars="200" w:firstLine="640"/>
        <w:rPr>
          <w:rFonts w:ascii="仿宋_GB2312" w:eastAsia="仿宋_GB2312" w:hAnsi="仿宋_GB2312" w:cs="仿宋_GB2312"/>
          <w:kern w:val="1"/>
          <w:sz w:val="32"/>
          <w:szCs w:val="32"/>
        </w:rPr>
      </w:pPr>
      <w:r>
        <w:rPr>
          <w:rFonts w:ascii="仿宋_GB2312" w:eastAsia="仿宋_GB2312" w:hint="eastAsia"/>
          <w:sz w:val="32"/>
          <w:szCs w:val="32"/>
        </w:rPr>
        <w:t>（5）暖经济。在三年新冠疫情防控转段后经济恢复发展之际，利用科技赋能，</w:t>
      </w:r>
      <w:r>
        <w:rPr>
          <w:rFonts w:ascii="仿宋_GB2312" w:eastAsia="仿宋_GB2312" w:hAnsi="仿宋_GB2312" w:cs="仿宋_GB2312" w:hint="eastAsia"/>
          <w:kern w:val="1"/>
          <w:sz w:val="32"/>
          <w:szCs w:val="32"/>
        </w:rPr>
        <w:t>举办科普创作大赛，开展科普活动；</w:t>
      </w:r>
      <w:r>
        <w:rPr>
          <w:rFonts w:ascii="仿宋_GB2312" w:eastAsia="仿宋_GB2312" w:hAnsi="仿宋_GB2312" w:cs="仿宋_GB2312"/>
          <w:kern w:val="1"/>
          <w:sz w:val="32"/>
          <w:szCs w:val="32"/>
        </w:rPr>
        <w:t xml:space="preserve"> </w:t>
      </w:r>
      <w:r>
        <w:rPr>
          <w:rFonts w:ascii="仿宋_GB2312" w:eastAsia="仿宋_GB2312" w:hAnsi="仿宋_GB2312" w:cs="仿宋_GB2312" w:hint="eastAsia"/>
          <w:kern w:val="1"/>
          <w:sz w:val="32"/>
          <w:szCs w:val="32"/>
        </w:rPr>
        <w:t>培育网红打卡地，推广文创店，推出文创单品，</w:t>
      </w:r>
      <w:r>
        <w:rPr>
          <w:rFonts w:ascii="仿宋_GB2312" w:eastAsia="仿宋_GB2312" w:hint="eastAsia"/>
          <w:sz w:val="32"/>
          <w:szCs w:val="32"/>
        </w:rPr>
        <w:t>文旅融合形式，推进经济回暖复苏。</w:t>
      </w:r>
    </w:p>
    <w:p w:rsidR="00C40C26" w:rsidRDefault="00FC18C4">
      <w:pPr>
        <w:spacing w:line="360" w:lineRule="auto"/>
        <w:ind w:firstLineChars="200" w:firstLine="640"/>
        <w:rPr>
          <w:rFonts w:ascii="仿宋_GB2312" w:eastAsia="仿宋_GB2312"/>
          <w:sz w:val="32"/>
          <w:szCs w:val="32"/>
        </w:rPr>
      </w:pPr>
      <w:r>
        <w:rPr>
          <w:rFonts w:ascii="仿宋_GB2312" w:eastAsia="仿宋_GB2312" w:hint="eastAsia"/>
          <w:sz w:val="32"/>
          <w:szCs w:val="32"/>
        </w:rPr>
        <w:lastRenderedPageBreak/>
        <w:t>2.</w:t>
      </w:r>
      <w:r>
        <w:rPr>
          <w:rFonts w:ascii="仿宋_GB2312" w:eastAsia="仿宋_GB2312"/>
          <w:sz w:val="32"/>
          <w:szCs w:val="32"/>
        </w:rPr>
        <w:t>绩效目标与职责任务匹配性</w:t>
      </w:r>
    </w:p>
    <w:p w:rsidR="00C40C26" w:rsidRDefault="00FC18C4">
      <w:pPr>
        <w:spacing w:line="360" w:lineRule="auto"/>
        <w:ind w:firstLineChars="200" w:firstLine="640"/>
        <w:rPr>
          <w:rFonts w:ascii="仿宋_GB2312" w:eastAsia="仿宋_GB2312"/>
          <w:sz w:val="32"/>
          <w:szCs w:val="32"/>
        </w:rPr>
      </w:pPr>
      <w:r>
        <w:rPr>
          <w:rFonts w:ascii="仿宋_GB2312" w:eastAsia="仿宋_GB2312" w:hint="eastAsia"/>
          <w:sz w:val="32"/>
          <w:szCs w:val="32"/>
        </w:rPr>
        <w:t>中心2023年</w:t>
      </w:r>
      <w:r>
        <w:rPr>
          <w:rFonts w:ascii="仿宋_GB2312" w:eastAsia="仿宋_GB2312"/>
          <w:sz w:val="32"/>
          <w:szCs w:val="32"/>
        </w:rPr>
        <w:t>度部门整体绩效目标</w:t>
      </w:r>
      <w:r>
        <w:rPr>
          <w:rFonts w:ascii="仿宋_GB2312" w:eastAsia="仿宋_GB2312" w:hint="eastAsia"/>
          <w:sz w:val="32"/>
          <w:szCs w:val="32"/>
        </w:rPr>
        <w:t>紧紧</w:t>
      </w:r>
      <w:r>
        <w:rPr>
          <w:rFonts w:ascii="仿宋_GB2312" w:eastAsia="仿宋_GB2312"/>
          <w:sz w:val="32"/>
          <w:szCs w:val="32"/>
        </w:rPr>
        <w:t>围绕部门职能及年度工作计划设置，与单位职责履行、年度工作任务较为相符，绩效目标与部门职责及重点工作匹配情况如下</w:t>
      </w:r>
      <w:r>
        <w:rPr>
          <w:rFonts w:ascii="仿宋_GB2312" w:eastAsia="仿宋_GB2312" w:hint="eastAsia"/>
          <w:sz w:val="32"/>
          <w:szCs w:val="32"/>
        </w:rPr>
        <w:t>：</w:t>
      </w:r>
    </w:p>
    <w:tbl>
      <w:tblPr>
        <w:tblW w:w="9243" w:type="dxa"/>
        <w:jc w:val="center"/>
        <w:tblLayout w:type="fixed"/>
        <w:tblLook w:val="04A0"/>
      </w:tblPr>
      <w:tblGrid>
        <w:gridCol w:w="846"/>
        <w:gridCol w:w="2804"/>
        <w:gridCol w:w="1487"/>
        <w:gridCol w:w="4100"/>
        <w:gridCol w:w="6"/>
      </w:tblGrid>
      <w:tr w:rsidR="00C40C26">
        <w:trPr>
          <w:trHeight w:val="397"/>
          <w:tblHeader/>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0C26" w:rsidRDefault="00FC18C4">
            <w:pPr>
              <w:widowControl/>
              <w:jc w:val="center"/>
              <w:rPr>
                <w:rFonts w:ascii="仿宋_GB2312" w:eastAsia="仿宋_GB2312" w:hAnsi="宋体" w:cs="Arial"/>
                <w:kern w:val="0"/>
                <w:sz w:val="24"/>
              </w:rPr>
            </w:pPr>
            <w:r>
              <w:rPr>
                <w:rFonts w:ascii="仿宋_GB2312" w:eastAsia="仿宋_GB2312" w:hAnsi="宋体" w:cs="Arial" w:hint="eastAsia"/>
                <w:kern w:val="0"/>
                <w:sz w:val="24"/>
              </w:rPr>
              <w:t>序号</w:t>
            </w:r>
          </w:p>
        </w:tc>
        <w:tc>
          <w:tcPr>
            <w:tcW w:w="2804" w:type="dxa"/>
            <w:tcBorders>
              <w:top w:val="single" w:sz="4" w:space="0" w:color="auto"/>
              <w:left w:val="nil"/>
              <w:bottom w:val="single" w:sz="4" w:space="0" w:color="auto"/>
              <w:right w:val="single" w:sz="4" w:space="0" w:color="auto"/>
            </w:tcBorders>
            <w:shd w:val="clear" w:color="auto" w:fill="auto"/>
            <w:noWrap/>
            <w:vAlign w:val="center"/>
          </w:tcPr>
          <w:p w:rsidR="00C40C26" w:rsidRDefault="00FC18C4">
            <w:pPr>
              <w:widowControl/>
              <w:jc w:val="center"/>
              <w:rPr>
                <w:rFonts w:ascii="仿宋_GB2312" w:eastAsia="仿宋_GB2312" w:hAnsi="宋体" w:cs="Arial"/>
                <w:kern w:val="0"/>
                <w:sz w:val="24"/>
              </w:rPr>
            </w:pPr>
            <w:r>
              <w:rPr>
                <w:rFonts w:ascii="仿宋_GB2312" w:eastAsia="仿宋_GB2312" w:hAnsi="宋体" w:cs="Arial" w:hint="eastAsia"/>
                <w:kern w:val="0"/>
                <w:sz w:val="24"/>
              </w:rPr>
              <w:t>单位职责</w:t>
            </w:r>
          </w:p>
        </w:tc>
        <w:tc>
          <w:tcPr>
            <w:tcW w:w="5593" w:type="dxa"/>
            <w:gridSpan w:val="3"/>
            <w:tcBorders>
              <w:top w:val="single" w:sz="4" w:space="0" w:color="auto"/>
              <w:left w:val="nil"/>
              <w:bottom w:val="single" w:sz="4" w:space="0" w:color="auto"/>
              <w:right w:val="single" w:sz="4" w:space="0" w:color="auto"/>
            </w:tcBorders>
            <w:shd w:val="clear" w:color="auto" w:fill="auto"/>
            <w:noWrap/>
            <w:vAlign w:val="center"/>
          </w:tcPr>
          <w:p w:rsidR="00C40C26" w:rsidRDefault="00FC18C4">
            <w:pPr>
              <w:widowControl/>
              <w:jc w:val="center"/>
              <w:rPr>
                <w:rFonts w:ascii="仿宋_GB2312" w:eastAsia="仿宋_GB2312" w:hAnsi="宋体" w:cs="Arial"/>
                <w:kern w:val="0"/>
                <w:sz w:val="24"/>
              </w:rPr>
            </w:pPr>
            <w:r>
              <w:rPr>
                <w:rFonts w:ascii="仿宋_GB2312" w:eastAsia="仿宋_GB2312" w:hAnsi="宋体" w:cs="Arial" w:hint="eastAsia"/>
                <w:kern w:val="0"/>
                <w:sz w:val="24"/>
              </w:rPr>
              <w:t>目标</w:t>
            </w:r>
          </w:p>
        </w:tc>
      </w:tr>
      <w:tr w:rsidR="00C40C26">
        <w:trPr>
          <w:gridAfter w:val="1"/>
          <w:wAfter w:w="6" w:type="dxa"/>
          <w:trHeight w:val="397"/>
          <w:jc w:val="center"/>
        </w:trPr>
        <w:tc>
          <w:tcPr>
            <w:tcW w:w="846" w:type="dxa"/>
            <w:vMerge w:val="restart"/>
            <w:tcBorders>
              <w:top w:val="nil"/>
              <w:left w:val="single" w:sz="4" w:space="0" w:color="auto"/>
              <w:bottom w:val="single" w:sz="4" w:space="0" w:color="auto"/>
              <w:right w:val="single" w:sz="4" w:space="0" w:color="auto"/>
            </w:tcBorders>
            <w:shd w:val="clear" w:color="auto" w:fill="auto"/>
            <w:noWrap/>
            <w:vAlign w:val="center"/>
          </w:tcPr>
          <w:p w:rsidR="00C40C26" w:rsidRDefault="00FC18C4">
            <w:pPr>
              <w:widowControl/>
              <w:jc w:val="center"/>
              <w:rPr>
                <w:rFonts w:ascii="仿宋_GB2312" w:eastAsia="仿宋_GB2312" w:hAnsi="宋体" w:cs="Arial"/>
                <w:color w:val="000000" w:themeColor="text1"/>
                <w:kern w:val="0"/>
                <w:sz w:val="24"/>
              </w:rPr>
            </w:pPr>
            <w:r>
              <w:rPr>
                <w:rFonts w:ascii="仿宋_GB2312" w:eastAsia="仿宋_GB2312" w:hAnsi="宋体" w:cs="Arial" w:hint="eastAsia"/>
                <w:color w:val="000000" w:themeColor="text1"/>
                <w:kern w:val="0"/>
                <w:sz w:val="24"/>
              </w:rPr>
              <w:t>一</w:t>
            </w:r>
          </w:p>
        </w:tc>
        <w:tc>
          <w:tcPr>
            <w:tcW w:w="2804" w:type="dxa"/>
            <w:vMerge w:val="restart"/>
            <w:tcBorders>
              <w:top w:val="nil"/>
              <w:left w:val="single" w:sz="4" w:space="0" w:color="auto"/>
              <w:bottom w:val="single" w:sz="4" w:space="0" w:color="auto"/>
              <w:right w:val="single" w:sz="4" w:space="0" w:color="auto"/>
            </w:tcBorders>
            <w:shd w:val="clear" w:color="auto" w:fill="auto"/>
            <w:vAlign w:val="center"/>
          </w:tcPr>
          <w:p w:rsidR="00C40C26" w:rsidRDefault="00FC18C4">
            <w:pPr>
              <w:widowControl/>
              <w:jc w:val="left"/>
              <w:rPr>
                <w:rFonts w:ascii="仿宋_GB2312" w:eastAsia="仿宋_GB2312" w:hAnsi="宋体" w:cs="Arial"/>
                <w:color w:val="000000" w:themeColor="text1"/>
                <w:kern w:val="0"/>
                <w:sz w:val="24"/>
              </w:rPr>
            </w:pPr>
            <w:r>
              <w:rPr>
                <w:rFonts w:ascii="仿宋_GB2312" w:eastAsia="仿宋_GB2312" w:hAnsi="宋体" w:cs="Arial" w:hint="eastAsia"/>
                <w:color w:val="000000" w:themeColor="text1"/>
                <w:kern w:val="0"/>
                <w:sz w:val="24"/>
              </w:rPr>
              <w:t>负责市属公园和所属机构财务管理和审计工作；负责市属公园和所属机构的劳动、组织人事管理工作</w:t>
            </w:r>
          </w:p>
        </w:tc>
        <w:tc>
          <w:tcPr>
            <w:tcW w:w="1487" w:type="dxa"/>
            <w:vMerge w:val="restart"/>
            <w:tcBorders>
              <w:top w:val="nil"/>
              <w:left w:val="single" w:sz="4" w:space="0" w:color="auto"/>
              <w:bottom w:val="single" w:sz="4" w:space="0" w:color="auto"/>
              <w:right w:val="single" w:sz="4" w:space="0" w:color="auto"/>
            </w:tcBorders>
            <w:shd w:val="clear" w:color="auto" w:fill="auto"/>
            <w:vAlign w:val="center"/>
          </w:tcPr>
          <w:p w:rsidR="00C40C26" w:rsidRDefault="00FC18C4">
            <w:pPr>
              <w:widowControl/>
              <w:jc w:val="left"/>
              <w:rPr>
                <w:rFonts w:ascii="仿宋_GB2312" w:eastAsia="仿宋_GB2312" w:hAnsi="宋体" w:cs="Arial"/>
                <w:color w:val="000000"/>
                <w:kern w:val="0"/>
                <w:sz w:val="24"/>
              </w:rPr>
            </w:pPr>
            <w:r>
              <w:rPr>
                <w:rFonts w:ascii="仿宋_GB2312" w:eastAsia="仿宋_GB2312" w:hAnsi="宋体" w:cs="Arial" w:hint="eastAsia"/>
                <w:color w:val="000000"/>
                <w:kern w:val="0"/>
                <w:sz w:val="24"/>
              </w:rPr>
              <w:t>坚定推动全面从严治党，为中心事业发展提供强有力的政治保证</w:t>
            </w:r>
          </w:p>
        </w:tc>
        <w:tc>
          <w:tcPr>
            <w:tcW w:w="4100" w:type="dxa"/>
            <w:tcBorders>
              <w:top w:val="nil"/>
              <w:left w:val="nil"/>
              <w:bottom w:val="single" w:sz="4" w:space="0" w:color="auto"/>
              <w:right w:val="single" w:sz="4" w:space="0" w:color="auto"/>
            </w:tcBorders>
            <w:shd w:val="clear" w:color="auto" w:fill="auto"/>
            <w:vAlign w:val="center"/>
          </w:tcPr>
          <w:p w:rsidR="00C40C26" w:rsidRDefault="00FC18C4">
            <w:pPr>
              <w:widowControl/>
              <w:rPr>
                <w:rFonts w:ascii="仿宋_GB2312" w:eastAsia="仿宋_GB2312" w:hAnsi="宋体" w:cs="Arial"/>
                <w:color w:val="000000"/>
                <w:kern w:val="0"/>
                <w:sz w:val="24"/>
              </w:rPr>
            </w:pPr>
            <w:r>
              <w:rPr>
                <w:rFonts w:ascii="仿宋_GB2312" w:eastAsia="仿宋_GB2312" w:hint="eastAsia"/>
                <w:sz w:val="24"/>
              </w:rPr>
              <w:t>开展学党章党规党纪专题学习教育</w:t>
            </w:r>
          </w:p>
        </w:tc>
      </w:tr>
      <w:tr w:rsidR="00C40C26">
        <w:trPr>
          <w:gridAfter w:val="1"/>
          <w:wAfter w:w="6" w:type="dxa"/>
          <w:trHeight w:val="397"/>
          <w:jc w:val="center"/>
        </w:trPr>
        <w:tc>
          <w:tcPr>
            <w:tcW w:w="846" w:type="dxa"/>
            <w:vMerge/>
            <w:tcBorders>
              <w:top w:val="nil"/>
              <w:left w:val="single" w:sz="4" w:space="0" w:color="auto"/>
              <w:bottom w:val="single" w:sz="4" w:space="0" w:color="auto"/>
              <w:right w:val="single" w:sz="4" w:space="0" w:color="auto"/>
            </w:tcBorders>
            <w:vAlign w:val="center"/>
          </w:tcPr>
          <w:p w:rsidR="00C40C26" w:rsidRDefault="00C40C26">
            <w:pPr>
              <w:widowControl/>
              <w:jc w:val="center"/>
              <w:rPr>
                <w:rFonts w:ascii="仿宋_GB2312" w:eastAsia="仿宋_GB2312" w:hAnsi="宋体" w:cs="Arial"/>
                <w:kern w:val="0"/>
                <w:sz w:val="24"/>
              </w:rPr>
            </w:pPr>
          </w:p>
        </w:tc>
        <w:tc>
          <w:tcPr>
            <w:tcW w:w="2804" w:type="dxa"/>
            <w:vMerge/>
            <w:tcBorders>
              <w:top w:val="nil"/>
              <w:left w:val="single" w:sz="4" w:space="0" w:color="auto"/>
              <w:bottom w:val="single" w:sz="4" w:space="0" w:color="auto"/>
              <w:right w:val="single" w:sz="4" w:space="0" w:color="auto"/>
            </w:tcBorders>
            <w:vAlign w:val="center"/>
          </w:tcPr>
          <w:p w:rsidR="00C40C26" w:rsidRDefault="00C40C26">
            <w:pPr>
              <w:widowControl/>
              <w:jc w:val="left"/>
              <w:rPr>
                <w:rFonts w:ascii="仿宋_GB2312" w:eastAsia="仿宋_GB2312" w:hAnsi="宋体" w:cs="Arial"/>
                <w:color w:val="000000"/>
                <w:kern w:val="0"/>
                <w:sz w:val="24"/>
              </w:rPr>
            </w:pPr>
          </w:p>
        </w:tc>
        <w:tc>
          <w:tcPr>
            <w:tcW w:w="1487" w:type="dxa"/>
            <w:vMerge/>
            <w:tcBorders>
              <w:top w:val="nil"/>
              <w:left w:val="single" w:sz="4" w:space="0" w:color="auto"/>
              <w:bottom w:val="single" w:sz="4" w:space="0" w:color="auto"/>
              <w:right w:val="single" w:sz="4" w:space="0" w:color="auto"/>
            </w:tcBorders>
            <w:vAlign w:val="center"/>
          </w:tcPr>
          <w:p w:rsidR="00C40C26" w:rsidRDefault="00C40C26">
            <w:pPr>
              <w:widowControl/>
              <w:jc w:val="left"/>
              <w:rPr>
                <w:rFonts w:ascii="仿宋_GB2312" w:eastAsia="仿宋_GB2312" w:hAnsi="宋体" w:cs="Arial"/>
                <w:color w:val="000000"/>
                <w:kern w:val="0"/>
                <w:sz w:val="24"/>
              </w:rPr>
            </w:pPr>
          </w:p>
        </w:tc>
        <w:tc>
          <w:tcPr>
            <w:tcW w:w="4100" w:type="dxa"/>
            <w:tcBorders>
              <w:top w:val="nil"/>
              <w:left w:val="nil"/>
              <w:bottom w:val="single" w:sz="4" w:space="0" w:color="auto"/>
              <w:right w:val="single" w:sz="4" w:space="0" w:color="auto"/>
            </w:tcBorders>
            <w:shd w:val="clear" w:color="auto" w:fill="auto"/>
            <w:vAlign w:val="center"/>
          </w:tcPr>
          <w:p w:rsidR="00C40C26" w:rsidRDefault="00FC18C4">
            <w:pPr>
              <w:widowControl/>
              <w:rPr>
                <w:rFonts w:ascii="仿宋_GB2312" w:eastAsia="仿宋_GB2312" w:hAnsi="宋体" w:cs="Arial"/>
                <w:color w:val="000000"/>
                <w:kern w:val="0"/>
                <w:sz w:val="24"/>
              </w:rPr>
            </w:pPr>
            <w:r>
              <w:rPr>
                <w:rFonts w:ascii="仿宋_GB2312" w:eastAsia="仿宋_GB2312" w:hint="eastAsia"/>
                <w:sz w:val="24"/>
              </w:rPr>
              <w:t xml:space="preserve">开展直属单位换届选举工作 </w:t>
            </w:r>
          </w:p>
        </w:tc>
      </w:tr>
      <w:tr w:rsidR="00C40C26">
        <w:trPr>
          <w:gridAfter w:val="1"/>
          <w:wAfter w:w="6" w:type="dxa"/>
          <w:trHeight w:val="397"/>
          <w:jc w:val="center"/>
        </w:trPr>
        <w:tc>
          <w:tcPr>
            <w:tcW w:w="846" w:type="dxa"/>
            <w:vMerge/>
            <w:tcBorders>
              <w:top w:val="nil"/>
              <w:left w:val="single" w:sz="4" w:space="0" w:color="auto"/>
              <w:bottom w:val="single" w:sz="4" w:space="0" w:color="auto"/>
              <w:right w:val="single" w:sz="4" w:space="0" w:color="auto"/>
            </w:tcBorders>
            <w:vAlign w:val="center"/>
          </w:tcPr>
          <w:p w:rsidR="00C40C26" w:rsidRDefault="00C40C26">
            <w:pPr>
              <w:widowControl/>
              <w:jc w:val="center"/>
              <w:rPr>
                <w:rFonts w:ascii="仿宋_GB2312" w:eastAsia="仿宋_GB2312" w:hAnsi="宋体" w:cs="Arial"/>
                <w:kern w:val="0"/>
                <w:sz w:val="24"/>
              </w:rPr>
            </w:pPr>
          </w:p>
        </w:tc>
        <w:tc>
          <w:tcPr>
            <w:tcW w:w="2804" w:type="dxa"/>
            <w:vMerge/>
            <w:tcBorders>
              <w:top w:val="nil"/>
              <w:left w:val="single" w:sz="4" w:space="0" w:color="auto"/>
              <w:bottom w:val="single" w:sz="4" w:space="0" w:color="auto"/>
              <w:right w:val="single" w:sz="4" w:space="0" w:color="auto"/>
            </w:tcBorders>
            <w:vAlign w:val="center"/>
          </w:tcPr>
          <w:p w:rsidR="00C40C26" w:rsidRDefault="00C40C26">
            <w:pPr>
              <w:widowControl/>
              <w:jc w:val="left"/>
              <w:rPr>
                <w:rFonts w:ascii="仿宋_GB2312" w:eastAsia="仿宋_GB2312" w:hAnsi="宋体" w:cs="Arial"/>
                <w:color w:val="000000"/>
                <w:kern w:val="0"/>
                <w:sz w:val="24"/>
              </w:rPr>
            </w:pPr>
          </w:p>
        </w:tc>
        <w:tc>
          <w:tcPr>
            <w:tcW w:w="1487" w:type="dxa"/>
            <w:vMerge/>
            <w:tcBorders>
              <w:top w:val="nil"/>
              <w:left w:val="single" w:sz="4" w:space="0" w:color="auto"/>
              <w:bottom w:val="single" w:sz="4" w:space="0" w:color="auto"/>
              <w:right w:val="single" w:sz="4" w:space="0" w:color="auto"/>
            </w:tcBorders>
            <w:vAlign w:val="center"/>
          </w:tcPr>
          <w:p w:rsidR="00C40C26" w:rsidRDefault="00C40C26">
            <w:pPr>
              <w:widowControl/>
              <w:jc w:val="left"/>
              <w:rPr>
                <w:rFonts w:ascii="仿宋_GB2312" w:eastAsia="仿宋_GB2312" w:hAnsi="宋体" w:cs="Arial"/>
                <w:color w:val="000000"/>
                <w:kern w:val="0"/>
                <w:sz w:val="24"/>
              </w:rPr>
            </w:pPr>
          </w:p>
        </w:tc>
        <w:tc>
          <w:tcPr>
            <w:tcW w:w="4100" w:type="dxa"/>
            <w:tcBorders>
              <w:top w:val="nil"/>
              <w:left w:val="nil"/>
              <w:bottom w:val="single" w:sz="4" w:space="0" w:color="auto"/>
              <w:right w:val="single" w:sz="4" w:space="0" w:color="auto"/>
            </w:tcBorders>
            <w:shd w:val="clear" w:color="auto" w:fill="auto"/>
            <w:vAlign w:val="center"/>
          </w:tcPr>
          <w:p w:rsidR="00C40C26" w:rsidRDefault="00FC18C4">
            <w:pPr>
              <w:widowControl/>
              <w:rPr>
                <w:rFonts w:ascii="仿宋_GB2312" w:eastAsia="仿宋_GB2312"/>
                <w:sz w:val="24"/>
              </w:rPr>
            </w:pPr>
            <w:r>
              <w:rPr>
                <w:rFonts w:ascii="仿宋_GB2312" w:eastAsia="仿宋_GB2312" w:hint="eastAsia"/>
                <w:sz w:val="24"/>
              </w:rPr>
              <w:t>推进中心人才队伍建设三年行动计划，建设高素质专业化人才队伍</w:t>
            </w:r>
          </w:p>
        </w:tc>
      </w:tr>
      <w:tr w:rsidR="00C40C26">
        <w:trPr>
          <w:gridAfter w:val="1"/>
          <w:wAfter w:w="6" w:type="dxa"/>
          <w:trHeight w:val="397"/>
          <w:jc w:val="center"/>
        </w:trPr>
        <w:tc>
          <w:tcPr>
            <w:tcW w:w="846" w:type="dxa"/>
            <w:vMerge/>
            <w:tcBorders>
              <w:top w:val="nil"/>
              <w:left w:val="single" w:sz="4" w:space="0" w:color="auto"/>
              <w:bottom w:val="single" w:sz="4" w:space="0" w:color="auto"/>
              <w:right w:val="single" w:sz="4" w:space="0" w:color="auto"/>
            </w:tcBorders>
            <w:vAlign w:val="center"/>
          </w:tcPr>
          <w:p w:rsidR="00C40C26" w:rsidRDefault="00C40C26">
            <w:pPr>
              <w:widowControl/>
              <w:jc w:val="center"/>
              <w:rPr>
                <w:rFonts w:ascii="仿宋_GB2312" w:eastAsia="仿宋_GB2312" w:hAnsi="宋体" w:cs="Arial"/>
                <w:kern w:val="0"/>
                <w:sz w:val="24"/>
              </w:rPr>
            </w:pPr>
          </w:p>
        </w:tc>
        <w:tc>
          <w:tcPr>
            <w:tcW w:w="2804" w:type="dxa"/>
            <w:vMerge/>
            <w:tcBorders>
              <w:top w:val="nil"/>
              <w:left w:val="single" w:sz="4" w:space="0" w:color="auto"/>
              <w:bottom w:val="single" w:sz="4" w:space="0" w:color="auto"/>
              <w:right w:val="single" w:sz="4" w:space="0" w:color="auto"/>
            </w:tcBorders>
            <w:vAlign w:val="center"/>
          </w:tcPr>
          <w:p w:rsidR="00C40C26" w:rsidRDefault="00C40C26">
            <w:pPr>
              <w:widowControl/>
              <w:jc w:val="left"/>
              <w:rPr>
                <w:rFonts w:ascii="仿宋_GB2312" w:eastAsia="仿宋_GB2312" w:hAnsi="宋体" w:cs="Arial"/>
                <w:color w:val="000000"/>
                <w:kern w:val="0"/>
                <w:sz w:val="24"/>
              </w:rPr>
            </w:pPr>
          </w:p>
        </w:tc>
        <w:tc>
          <w:tcPr>
            <w:tcW w:w="1487" w:type="dxa"/>
            <w:vMerge/>
            <w:tcBorders>
              <w:top w:val="nil"/>
              <w:left w:val="single" w:sz="4" w:space="0" w:color="auto"/>
              <w:bottom w:val="single" w:sz="4" w:space="0" w:color="auto"/>
              <w:right w:val="single" w:sz="4" w:space="0" w:color="auto"/>
            </w:tcBorders>
            <w:vAlign w:val="center"/>
          </w:tcPr>
          <w:p w:rsidR="00C40C26" w:rsidRDefault="00C40C26">
            <w:pPr>
              <w:widowControl/>
              <w:jc w:val="left"/>
              <w:rPr>
                <w:rFonts w:ascii="仿宋_GB2312" w:eastAsia="仿宋_GB2312" w:hAnsi="宋体" w:cs="Arial"/>
                <w:color w:val="000000"/>
                <w:kern w:val="0"/>
                <w:sz w:val="24"/>
              </w:rPr>
            </w:pPr>
          </w:p>
        </w:tc>
        <w:tc>
          <w:tcPr>
            <w:tcW w:w="4100" w:type="dxa"/>
            <w:tcBorders>
              <w:top w:val="nil"/>
              <w:left w:val="nil"/>
              <w:bottom w:val="single" w:sz="4" w:space="0" w:color="auto"/>
              <w:right w:val="single" w:sz="4" w:space="0" w:color="auto"/>
            </w:tcBorders>
            <w:shd w:val="clear" w:color="auto" w:fill="auto"/>
            <w:vAlign w:val="center"/>
          </w:tcPr>
          <w:p w:rsidR="00C40C26" w:rsidRDefault="00FC18C4">
            <w:pPr>
              <w:widowControl/>
              <w:rPr>
                <w:rFonts w:ascii="仿宋_GB2312" w:eastAsia="仿宋_GB2312"/>
                <w:sz w:val="24"/>
              </w:rPr>
            </w:pPr>
            <w:r>
              <w:rPr>
                <w:rFonts w:ascii="仿宋_GB2312" w:eastAsia="仿宋_GB2312" w:hAnsi="仿宋_GB2312" w:cs="仿宋_GB2312" w:hint="eastAsia"/>
                <w:sz w:val="24"/>
              </w:rPr>
              <w:t>开展“十杰青年”评选工作，扩大覆盖面和影响力</w:t>
            </w:r>
          </w:p>
        </w:tc>
      </w:tr>
      <w:tr w:rsidR="00C40C26">
        <w:trPr>
          <w:gridAfter w:val="1"/>
          <w:wAfter w:w="6" w:type="dxa"/>
          <w:trHeight w:val="397"/>
          <w:jc w:val="center"/>
        </w:trPr>
        <w:tc>
          <w:tcPr>
            <w:tcW w:w="846" w:type="dxa"/>
            <w:vMerge/>
            <w:tcBorders>
              <w:top w:val="nil"/>
              <w:left w:val="single" w:sz="4" w:space="0" w:color="auto"/>
              <w:bottom w:val="single" w:sz="4" w:space="0" w:color="auto"/>
              <w:right w:val="single" w:sz="4" w:space="0" w:color="auto"/>
            </w:tcBorders>
            <w:vAlign w:val="center"/>
          </w:tcPr>
          <w:p w:rsidR="00C40C26" w:rsidRDefault="00C40C26">
            <w:pPr>
              <w:widowControl/>
              <w:jc w:val="center"/>
              <w:rPr>
                <w:rFonts w:ascii="仿宋_GB2312" w:eastAsia="仿宋_GB2312" w:hAnsi="宋体" w:cs="Arial"/>
                <w:kern w:val="0"/>
                <w:sz w:val="24"/>
              </w:rPr>
            </w:pPr>
          </w:p>
        </w:tc>
        <w:tc>
          <w:tcPr>
            <w:tcW w:w="2804" w:type="dxa"/>
            <w:vMerge/>
            <w:tcBorders>
              <w:top w:val="nil"/>
              <w:left w:val="single" w:sz="4" w:space="0" w:color="auto"/>
              <w:bottom w:val="single" w:sz="4" w:space="0" w:color="auto"/>
              <w:right w:val="single" w:sz="4" w:space="0" w:color="auto"/>
            </w:tcBorders>
            <w:vAlign w:val="center"/>
          </w:tcPr>
          <w:p w:rsidR="00C40C26" w:rsidRDefault="00C40C26">
            <w:pPr>
              <w:widowControl/>
              <w:jc w:val="left"/>
              <w:rPr>
                <w:rFonts w:ascii="仿宋_GB2312" w:eastAsia="仿宋_GB2312" w:hAnsi="宋体" w:cs="Arial"/>
                <w:color w:val="000000"/>
                <w:kern w:val="0"/>
                <w:sz w:val="24"/>
              </w:rPr>
            </w:pPr>
          </w:p>
        </w:tc>
        <w:tc>
          <w:tcPr>
            <w:tcW w:w="1487" w:type="dxa"/>
            <w:vMerge/>
            <w:tcBorders>
              <w:top w:val="nil"/>
              <w:left w:val="single" w:sz="4" w:space="0" w:color="auto"/>
              <w:bottom w:val="single" w:sz="4" w:space="0" w:color="auto"/>
              <w:right w:val="single" w:sz="4" w:space="0" w:color="auto"/>
            </w:tcBorders>
            <w:vAlign w:val="center"/>
          </w:tcPr>
          <w:p w:rsidR="00C40C26" w:rsidRDefault="00C40C26">
            <w:pPr>
              <w:widowControl/>
              <w:jc w:val="left"/>
              <w:rPr>
                <w:rFonts w:ascii="仿宋_GB2312" w:eastAsia="仿宋_GB2312" w:hAnsi="宋体" w:cs="Arial"/>
                <w:color w:val="000000"/>
                <w:kern w:val="0"/>
                <w:sz w:val="24"/>
              </w:rPr>
            </w:pPr>
          </w:p>
        </w:tc>
        <w:tc>
          <w:tcPr>
            <w:tcW w:w="4100" w:type="dxa"/>
            <w:tcBorders>
              <w:top w:val="nil"/>
              <w:left w:val="nil"/>
              <w:bottom w:val="single" w:sz="4" w:space="0" w:color="auto"/>
              <w:right w:val="single" w:sz="4" w:space="0" w:color="auto"/>
            </w:tcBorders>
            <w:shd w:val="clear" w:color="auto" w:fill="auto"/>
            <w:vAlign w:val="center"/>
          </w:tcPr>
          <w:p w:rsidR="00C40C26" w:rsidRDefault="00FC18C4">
            <w:pPr>
              <w:widowControl/>
              <w:rPr>
                <w:rFonts w:ascii="仿宋_GB2312" w:eastAsia="仿宋_GB2312" w:hAnsi="宋体" w:cs="Arial"/>
                <w:color w:val="000000"/>
                <w:kern w:val="0"/>
                <w:sz w:val="24"/>
              </w:rPr>
            </w:pPr>
            <w:r>
              <w:rPr>
                <w:rFonts w:ascii="仿宋_GB2312" w:eastAsia="仿宋_GB2312" w:hAnsi="仿宋_GB2312" w:cs="仿宋_GB2312" w:hint="eastAsia"/>
                <w:sz w:val="24"/>
              </w:rPr>
              <w:t>提升经济责任任中审计在干部监督管理和全面从严治党中的积极作用</w:t>
            </w:r>
          </w:p>
        </w:tc>
      </w:tr>
      <w:tr w:rsidR="00C40C26">
        <w:trPr>
          <w:gridAfter w:val="1"/>
          <w:wAfter w:w="6" w:type="dxa"/>
          <w:trHeight w:val="397"/>
          <w:jc w:val="center"/>
        </w:trPr>
        <w:tc>
          <w:tcPr>
            <w:tcW w:w="846" w:type="dxa"/>
            <w:vMerge w:val="restart"/>
            <w:tcBorders>
              <w:left w:val="single" w:sz="4" w:space="0" w:color="auto"/>
              <w:right w:val="single" w:sz="4" w:space="0" w:color="auto"/>
            </w:tcBorders>
            <w:shd w:val="clear" w:color="auto" w:fill="auto"/>
            <w:vAlign w:val="center"/>
          </w:tcPr>
          <w:p w:rsidR="00C40C26" w:rsidRDefault="00FC18C4">
            <w:pPr>
              <w:widowControl/>
              <w:jc w:val="center"/>
              <w:rPr>
                <w:rFonts w:ascii="仿宋_GB2312" w:eastAsia="仿宋_GB2312" w:hAnsi="宋体" w:cs="Arial"/>
                <w:color w:val="000000"/>
                <w:kern w:val="0"/>
                <w:sz w:val="24"/>
              </w:rPr>
            </w:pPr>
            <w:r>
              <w:rPr>
                <w:rFonts w:ascii="仿宋_GB2312" w:eastAsia="仿宋_GB2312" w:hAnsi="宋体" w:cs="Arial" w:hint="eastAsia"/>
                <w:color w:val="000000"/>
                <w:kern w:val="0"/>
                <w:sz w:val="24"/>
              </w:rPr>
              <w:t>二</w:t>
            </w:r>
          </w:p>
        </w:tc>
        <w:tc>
          <w:tcPr>
            <w:tcW w:w="2804" w:type="dxa"/>
            <w:vMerge w:val="restart"/>
            <w:tcBorders>
              <w:left w:val="single" w:sz="4" w:space="0" w:color="auto"/>
              <w:right w:val="single" w:sz="4" w:space="0" w:color="auto"/>
            </w:tcBorders>
            <w:shd w:val="clear" w:color="auto" w:fill="auto"/>
            <w:vAlign w:val="center"/>
          </w:tcPr>
          <w:p w:rsidR="00C40C26" w:rsidRDefault="00FC18C4">
            <w:pPr>
              <w:widowControl/>
              <w:jc w:val="left"/>
              <w:rPr>
                <w:rFonts w:ascii="仿宋_GB2312" w:eastAsia="仿宋_GB2312" w:hAnsi="宋体" w:cs="Arial"/>
                <w:color w:val="000000"/>
                <w:kern w:val="0"/>
                <w:sz w:val="24"/>
              </w:rPr>
            </w:pPr>
            <w:r>
              <w:rPr>
                <w:rFonts w:ascii="仿宋_GB2312" w:eastAsia="仿宋_GB2312" w:hAnsi="宋体" w:cs="Arial" w:hint="eastAsia"/>
                <w:color w:val="000000" w:themeColor="text1"/>
                <w:kern w:val="0"/>
                <w:sz w:val="24"/>
              </w:rPr>
              <w:t>负责市属公园和所属机构党群工作，精神文明建设和维护稳定等方面的工作</w:t>
            </w:r>
          </w:p>
        </w:tc>
        <w:tc>
          <w:tcPr>
            <w:tcW w:w="1487" w:type="dxa"/>
            <w:vMerge w:val="restart"/>
            <w:tcBorders>
              <w:left w:val="single" w:sz="4" w:space="0" w:color="auto"/>
              <w:right w:val="single" w:sz="4" w:space="0" w:color="auto"/>
            </w:tcBorders>
            <w:shd w:val="clear" w:color="auto" w:fill="auto"/>
            <w:vAlign w:val="center"/>
          </w:tcPr>
          <w:p w:rsidR="00C40C26" w:rsidRDefault="00FC18C4">
            <w:pPr>
              <w:widowControl/>
              <w:jc w:val="left"/>
              <w:rPr>
                <w:rFonts w:ascii="仿宋_GB2312" w:eastAsia="仿宋_GB2312" w:hAnsi="宋体" w:cs="Arial"/>
                <w:color w:val="000000"/>
                <w:kern w:val="0"/>
                <w:sz w:val="24"/>
              </w:rPr>
            </w:pPr>
            <w:r>
              <w:rPr>
                <w:rFonts w:ascii="仿宋_GB2312" w:eastAsia="仿宋_GB2312" w:hAnsi="宋体" w:cs="Arial" w:hint="eastAsia"/>
                <w:color w:val="000000"/>
                <w:kern w:val="0"/>
                <w:sz w:val="24"/>
              </w:rPr>
              <w:t>积极传播公园特色文化</w:t>
            </w:r>
          </w:p>
        </w:tc>
        <w:tc>
          <w:tcPr>
            <w:tcW w:w="4100" w:type="dxa"/>
            <w:tcBorders>
              <w:top w:val="nil"/>
              <w:left w:val="nil"/>
              <w:bottom w:val="single" w:sz="4" w:space="0" w:color="auto"/>
              <w:right w:val="single" w:sz="4" w:space="0" w:color="auto"/>
            </w:tcBorders>
            <w:shd w:val="clear" w:color="auto" w:fill="auto"/>
            <w:vAlign w:val="center"/>
          </w:tcPr>
          <w:p w:rsidR="00C40C26" w:rsidRDefault="00FC18C4">
            <w:pPr>
              <w:widowControl/>
              <w:rPr>
                <w:rFonts w:ascii="仿宋_GB2312" w:eastAsia="仿宋_GB2312" w:hAnsi="宋体" w:cs="Arial"/>
                <w:color w:val="000000"/>
                <w:kern w:val="0"/>
                <w:sz w:val="24"/>
              </w:rPr>
            </w:pPr>
            <w:r>
              <w:rPr>
                <w:rFonts w:ascii="仿宋_GB2312" w:eastAsia="仿宋_GB2312" w:cs="Arial" w:hint="eastAsia"/>
                <w:color w:val="000000"/>
                <w:sz w:val="24"/>
              </w:rPr>
              <w:t>举办“园说V”文化文物展览、</w:t>
            </w:r>
            <w:r>
              <w:rPr>
                <w:rFonts w:ascii="仿宋_GB2312" w:eastAsia="仿宋_GB2312" w:hAnsi="仿宋_GB2312" w:cs="仿宋_GB2312" w:hint="eastAsia"/>
                <w:sz w:val="24"/>
              </w:rPr>
              <w:t>园博馆十周年系列主题展</w:t>
            </w:r>
          </w:p>
        </w:tc>
      </w:tr>
      <w:tr w:rsidR="00C40C26">
        <w:trPr>
          <w:gridAfter w:val="1"/>
          <w:wAfter w:w="6" w:type="dxa"/>
          <w:trHeight w:val="397"/>
          <w:jc w:val="center"/>
        </w:trPr>
        <w:tc>
          <w:tcPr>
            <w:tcW w:w="846" w:type="dxa"/>
            <w:vMerge/>
            <w:tcBorders>
              <w:left w:val="single" w:sz="4" w:space="0" w:color="auto"/>
              <w:bottom w:val="single" w:sz="4" w:space="0" w:color="auto"/>
              <w:right w:val="single" w:sz="4" w:space="0" w:color="auto"/>
            </w:tcBorders>
            <w:shd w:val="clear" w:color="auto" w:fill="auto"/>
            <w:vAlign w:val="center"/>
          </w:tcPr>
          <w:p w:rsidR="00C40C26" w:rsidRDefault="00C40C26">
            <w:pPr>
              <w:widowControl/>
              <w:jc w:val="center"/>
              <w:rPr>
                <w:rFonts w:ascii="仿宋_GB2312" w:eastAsia="仿宋_GB2312" w:hAnsi="宋体" w:cs="Arial"/>
                <w:color w:val="000000"/>
                <w:kern w:val="0"/>
                <w:sz w:val="24"/>
              </w:rPr>
            </w:pPr>
          </w:p>
        </w:tc>
        <w:tc>
          <w:tcPr>
            <w:tcW w:w="2804" w:type="dxa"/>
            <w:vMerge/>
            <w:tcBorders>
              <w:left w:val="single" w:sz="4" w:space="0" w:color="auto"/>
              <w:bottom w:val="single" w:sz="4" w:space="0" w:color="auto"/>
              <w:right w:val="single" w:sz="4" w:space="0" w:color="auto"/>
            </w:tcBorders>
            <w:shd w:val="clear" w:color="auto" w:fill="auto"/>
            <w:vAlign w:val="center"/>
          </w:tcPr>
          <w:p w:rsidR="00C40C26" w:rsidRDefault="00C40C26">
            <w:pPr>
              <w:widowControl/>
              <w:jc w:val="left"/>
              <w:rPr>
                <w:rFonts w:ascii="仿宋_GB2312" w:eastAsia="仿宋_GB2312" w:hAnsi="宋体" w:cs="Arial"/>
                <w:color w:val="000000"/>
                <w:kern w:val="0"/>
                <w:sz w:val="24"/>
              </w:rPr>
            </w:pPr>
          </w:p>
        </w:tc>
        <w:tc>
          <w:tcPr>
            <w:tcW w:w="1487" w:type="dxa"/>
            <w:vMerge/>
            <w:tcBorders>
              <w:left w:val="single" w:sz="4" w:space="0" w:color="auto"/>
              <w:bottom w:val="single" w:sz="4" w:space="0" w:color="auto"/>
              <w:right w:val="single" w:sz="4" w:space="0" w:color="auto"/>
            </w:tcBorders>
            <w:shd w:val="clear" w:color="auto" w:fill="auto"/>
            <w:vAlign w:val="center"/>
          </w:tcPr>
          <w:p w:rsidR="00C40C26" w:rsidRDefault="00C40C26">
            <w:pPr>
              <w:widowControl/>
              <w:jc w:val="left"/>
              <w:rPr>
                <w:rFonts w:ascii="仿宋_GB2312" w:eastAsia="仿宋_GB2312" w:hAnsi="宋体" w:cs="Arial"/>
                <w:color w:val="000000"/>
                <w:kern w:val="0"/>
                <w:sz w:val="24"/>
              </w:rPr>
            </w:pPr>
          </w:p>
        </w:tc>
        <w:tc>
          <w:tcPr>
            <w:tcW w:w="4100" w:type="dxa"/>
            <w:tcBorders>
              <w:top w:val="nil"/>
              <w:left w:val="nil"/>
              <w:bottom w:val="single" w:sz="4" w:space="0" w:color="auto"/>
              <w:right w:val="single" w:sz="4" w:space="0" w:color="auto"/>
            </w:tcBorders>
            <w:shd w:val="clear" w:color="auto" w:fill="auto"/>
            <w:vAlign w:val="center"/>
          </w:tcPr>
          <w:p w:rsidR="00C40C26" w:rsidRDefault="00FC18C4">
            <w:pPr>
              <w:widowControl/>
              <w:rPr>
                <w:rFonts w:ascii="仿宋_GB2312" w:eastAsia="仿宋_GB2312" w:cs="Arial"/>
                <w:color w:val="000000"/>
                <w:sz w:val="24"/>
              </w:rPr>
            </w:pPr>
            <w:r>
              <w:rPr>
                <w:rFonts w:ascii="仿宋_GB2312" w:eastAsia="仿宋_GB2312" w:hAnsi="仿宋_GB2312" w:cs="仿宋_GB2312" w:hint="eastAsia"/>
                <w:sz w:val="24"/>
              </w:rPr>
              <w:t>推动公园文创创新发展</w:t>
            </w:r>
          </w:p>
        </w:tc>
      </w:tr>
      <w:tr w:rsidR="00C40C26">
        <w:trPr>
          <w:gridAfter w:val="1"/>
          <w:wAfter w:w="6" w:type="dxa"/>
          <w:trHeight w:val="397"/>
          <w:jc w:val="center"/>
        </w:trPr>
        <w:tc>
          <w:tcPr>
            <w:tcW w:w="846" w:type="dxa"/>
            <w:vMerge/>
            <w:tcBorders>
              <w:left w:val="single" w:sz="4" w:space="0" w:color="auto"/>
              <w:bottom w:val="single" w:sz="4" w:space="0" w:color="auto"/>
              <w:right w:val="single" w:sz="4" w:space="0" w:color="auto"/>
            </w:tcBorders>
            <w:shd w:val="clear" w:color="auto" w:fill="auto"/>
            <w:vAlign w:val="center"/>
          </w:tcPr>
          <w:p w:rsidR="00C40C26" w:rsidRDefault="00C40C26">
            <w:pPr>
              <w:widowControl/>
              <w:jc w:val="center"/>
              <w:rPr>
                <w:rFonts w:ascii="仿宋_GB2312" w:eastAsia="仿宋_GB2312" w:hAnsi="宋体" w:cs="Arial"/>
                <w:color w:val="000000"/>
                <w:kern w:val="0"/>
                <w:sz w:val="24"/>
              </w:rPr>
            </w:pPr>
          </w:p>
        </w:tc>
        <w:tc>
          <w:tcPr>
            <w:tcW w:w="2804" w:type="dxa"/>
            <w:vMerge/>
            <w:tcBorders>
              <w:left w:val="single" w:sz="4" w:space="0" w:color="auto"/>
              <w:bottom w:val="single" w:sz="4" w:space="0" w:color="auto"/>
              <w:right w:val="single" w:sz="4" w:space="0" w:color="auto"/>
            </w:tcBorders>
            <w:shd w:val="clear" w:color="auto" w:fill="auto"/>
            <w:vAlign w:val="center"/>
          </w:tcPr>
          <w:p w:rsidR="00C40C26" w:rsidRDefault="00C40C26">
            <w:pPr>
              <w:widowControl/>
              <w:jc w:val="left"/>
              <w:rPr>
                <w:rFonts w:ascii="仿宋_GB2312" w:eastAsia="仿宋_GB2312" w:hAnsi="宋体" w:cs="Arial"/>
                <w:color w:val="000000"/>
                <w:kern w:val="0"/>
                <w:sz w:val="24"/>
              </w:rPr>
            </w:pPr>
          </w:p>
        </w:tc>
        <w:tc>
          <w:tcPr>
            <w:tcW w:w="1487" w:type="dxa"/>
            <w:vMerge/>
            <w:tcBorders>
              <w:left w:val="single" w:sz="4" w:space="0" w:color="auto"/>
              <w:bottom w:val="single" w:sz="4" w:space="0" w:color="auto"/>
              <w:right w:val="single" w:sz="4" w:space="0" w:color="auto"/>
            </w:tcBorders>
            <w:shd w:val="clear" w:color="auto" w:fill="auto"/>
            <w:vAlign w:val="center"/>
          </w:tcPr>
          <w:p w:rsidR="00C40C26" w:rsidRDefault="00C40C26">
            <w:pPr>
              <w:widowControl/>
              <w:jc w:val="left"/>
              <w:rPr>
                <w:rFonts w:ascii="仿宋_GB2312" w:eastAsia="仿宋_GB2312" w:hAnsi="宋体" w:cs="Arial"/>
                <w:color w:val="000000"/>
                <w:kern w:val="0"/>
                <w:sz w:val="24"/>
              </w:rPr>
            </w:pPr>
          </w:p>
        </w:tc>
        <w:tc>
          <w:tcPr>
            <w:tcW w:w="4100" w:type="dxa"/>
            <w:tcBorders>
              <w:top w:val="nil"/>
              <w:left w:val="nil"/>
              <w:bottom w:val="single" w:sz="4" w:space="0" w:color="auto"/>
              <w:right w:val="single" w:sz="4" w:space="0" w:color="auto"/>
            </w:tcBorders>
            <w:shd w:val="clear" w:color="auto" w:fill="auto"/>
            <w:vAlign w:val="center"/>
          </w:tcPr>
          <w:p w:rsidR="00C40C26" w:rsidRDefault="00FC18C4">
            <w:pPr>
              <w:widowControl/>
              <w:rPr>
                <w:rFonts w:ascii="仿宋_GB2312" w:eastAsia="仿宋_GB2312" w:cs="Arial"/>
                <w:color w:val="000000"/>
                <w:sz w:val="24"/>
              </w:rPr>
            </w:pPr>
            <w:r>
              <w:rPr>
                <w:rFonts w:ascii="仿宋_GB2312" w:eastAsia="仿宋_GB2312" w:cs="Arial" w:hint="eastAsia"/>
                <w:color w:val="000000"/>
                <w:sz w:val="24"/>
              </w:rPr>
              <w:t>持续深化中心系统红色资源，加强红色文化建设</w:t>
            </w:r>
          </w:p>
        </w:tc>
      </w:tr>
      <w:tr w:rsidR="00C40C26">
        <w:trPr>
          <w:gridAfter w:val="1"/>
          <w:wAfter w:w="6" w:type="dxa"/>
          <w:trHeight w:val="397"/>
          <w:jc w:val="center"/>
        </w:trPr>
        <w:tc>
          <w:tcPr>
            <w:tcW w:w="846" w:type="dxa"/>
            <w:vMerge/>
            <w:tcBorders>
              <w:left w:val="single" w:sz="4" w:space="0" w:color="auto"/>
              <w:bottom w:val="single" w:sz="4" w:space="0" w:color="auto"/>
              <w:right w:val="single" w:sz="4" w:space="0" w:color="auto"/>
            </w:tcBorders>
            <w:shd w:val="clear" w:color="auto" w:fill="auto"/>
            <w:vAlign w:val="center"/>
          </w:tcPr>
          <w:p w:rsidR="00C40C26" w:rsidRDefault="00C40C26">
            <w:pPr>
              <w:widowControl/>
              <w:jc w:val="center"/>
              <w:rPr>
                <w:rFonts w:ascii="仿宋_GB2312" w:eastAsia="仿宋_GB2312" w:hAnsi="宋体" w:cs="Arial"/>
                <w:color w:val="000000"/>
                <w:kern w:val="0"/>
                <w:sz w:val="24"/>
              </w:rPr>
            </w:pPr>
          </w:p>
        </w:tc>
        <w:tc>
          <w:tcPr>
            <w:tcW w:w="2804" w:type="dxa"/>
            <w:vMerge/>
            <w:tcBorders>
              <w:left w:val="single" w:sz="4" w:space="0" w:color="auto"/>
              <w:bottom w:val="single" w:sz="4" w:space="0" w:color="auto"/>
              <w:right w:val="single" w:sz="4" w:space="0" w:color="auto"/>
            </w:tcBorders>
            <w:shd w:val="clear" w:color="auto" w:fill="auto"/>
            <w:vAlign w:val="center"/>
          </w:tcPr>
          <w:p w:rsidR="00C40C26" w:rsidRDefault="00C40C26">
            <w:pPr>
              <w:widowControl/>
              <w:jc w:val="left"/>
              <w:rPr>
                <w:rFonts w:ascii="仿宋_GB2312" w:eastAsia="仿宋_GB2312" w:hAnsi="宋体" w:cs="Arial"/>
                <w:color w:val="000000"/>
                <w:kern w:val="0"/>
                <w:sz w:val="24"/>
              </w:rPr>
            </w:pPr>
          </w:p>
        </w:tc>
        <w:tc>
          <w:tcPr>
            <w:tcW w:w="1487" w:type="dxa"/>
            <w:vMerge/>
            <w:tcBorders>
              <w:left w:val="single" w:sz="4" w:space="0" w:color="auto"/>
              <w:bottom w:val="single" w:sz="4" w:space="0" w:color="auto"/>
              <w:right w:val="single" w:sz="4" w:space="0" w:color="auto"/>
            </w:tcBorders>
            <w:shd w:val="clear" w:color="auto" w:fill="auto"/>
            <w:vAlign w:val="center"/>
          </w:tcPr>
          <w:p w:rsidR="00C40C26" w:rsidRDefault="00C40C26">
            <w:pPr>
              <w:widowControl/>
              <w:jc w:val="left"/>
              <w:rPr>
                <w:rFonts w:ascii="仿宋_GB2312" w:eastAsia="仿宋_GB2312" w:hAnsi="宋体" w:cs="Arial"/>
                <w:color w:val="000000"/>
                <w:kern w:val="0"/>
                <w:sz w:val="24"/>
              </w:rPr>
            </w:pPr>
          </w:p>
        </w:tc>
        <w:tc>
          <w:tcPr>
            <w:tcW w:w="4100" w:type="dxa"/>
            <w:tcBorders>
              <w:top w:val="nil"/>
              <w:left w:val="nil"/>
              <w:bottom w:val="single" w:sz="4" w:space="0" w:color="auto"/>
              <w:right w:val="single" w:sz="4" w:space="0" w:color="auto"/>
            </w:tcBorders>
            <w:shd w:val="clear" w:color="auto" w:fill="auto"/>
            <w:vAlign w:val="center"/>
          </w:tcPr>
          <w:p w:rsidR="00C40C26" w:rsidRDefault="00FC18C4">
            <w:pPr>
              <w:widowControl/>
              <w:rPr>
                <w:rFonts w:ascii="仿宋_GB2312" w:eastAsia="仿宋_GB2312" w:hAnsi="宋体" w:cs="Arial"/>
                <w:color w:val="000000"/>
                <w:kern w:val="0"/>
                <w:sz w:val="24"/>
              </w:rPr>
            </w:pPr>
            <w:r>
              <w:rPr>
                <w:rFonts w:ascii="仿宋_GB2312" w:eastAsia="仿宋_GB2312" w:hAnsi="仿宋_GB2312" w:cs="仿宋_GB2312" w:hint="eastAsia"/>
                <w:sz w:val="24"/>
              </w:rPr>
              <w:t>建设展陈策划设计中心、编制编制展陈策划设计中心运行、管理相关制度</w:t>
            </w:r>
          </w:p>
        </w:tc>
      </w:tr>
      <w:tr w:rsidR="00C40C26">
        <w:trPr>
          <w:gridAfter w:val="1"/>
          <w:wAfter w:w="6" w:type="dxa"/>
          <w:trHeight w:val="397"/>
          <w:jc w:val="center"/>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40C26" w:rsidRDefault="00FC18C4">
            <w:pPr>
              <w:widowControl/>
              <w:jc w:val="center"/>
              <w:rPr>
                <w:rFonts w:ascii="仿宋_GB2312" w:eastAsia="仿宋_GB2312" w:hAnsi="宋体" w:cs="Arial"/>
                <w:color w:val="000000"/>
                <w:kern w:val="0"/>
                <w:sz w:val="24"/>
              </w:rPr>
            </w:pPr>
            <w:r>
              <w:rPr>
                <w:rFonts w:ascii="仿宋_GB2312" w:eastAsia="仿宋_GB2312" w:hAnsi="宋体" w:cs="Arial" w:hint="eastAsia"/>
                <w:color w:val="000000"/>
                <w:kern w:val="0"/>
                <w:sz w:val="24"/>
              </w:rPr>
              <w:t>三</w:t>
            </w:r>
          </w:p>
        </w:tc>
        <w:tc>
          <w:tcPr>
            <w:tcW w:w="28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40C26" w:rsidRDefault="00FC18C4">
            <w:pPr>
              <w:widowControl/>
              <w:jc w:val="left"/>
              <w:rPr>
                <w:rFonts w:ascii="仿宋_GB2312" w:eastAsia="仿宋_GB2312" w:hAnsi="宋体" w:cs="Arial"/>
                <w:color w:val="000000"/>
                <w:kern w:val="0"/>
                <w:sz w:val="24"/>
              </w:rPr>
            </w:pPr>
            <w:r>
              <w:rPr>
                <w:rFonts w:ascii="仿宋_GB2312" w:eastAsia="仿宋_GB2312" w:hAnsi="宋体" w:cs="Arial" w:hint="eastAsia"/>
                <w:color w:val="000000"/>
                <w:kern w:val="0"/>
                <w:sz w:val="24"/>
              </w:rPr>
              <w:t>负责指导市属公园和所属机构规划、建设、管理、服务、科技等方面的工作，并监督实施</w:t>
            </w:r>
          </w:p>
        </w:tc>
        <w:tc>
          <w:tcPr>
            <w:tcW w:w="14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40C26" w:rsidRDefault="00FC18C4">
            <w:pPr>
              <w:widowControl/>
              <w:jc w:val="left"/>
              <w:rPr>
                <w:rFonts w:ascii="仿宋_GB2312" w:eastAsia="仿宋_GB2312" w:hAnsi="宋体" w:cs="Arial"/>
                <w:color w:val="000000"/>
                <w:kern w:val="0"/>
                <w:sz w:val="24"/>
              </w:rPr>
            </w:pPr>
            <w:r>
              <w:rPr>
                <w:rFonts w:ascii="仿宋_GB2312" w:eastAsia="仿宋_GB2312" w:hAnsi="宋体" w:cs="Arial" w:hint="eastAsia"/>
                <w:color w:val="000000"/>
                <w:kern w:val="0"/>
                <w:sz w:val="24"/>
              </w:rPr>
              <w:t>全面提升公共服务品质</w:t>
            </w:r>
          </w:p>
        </w:tc>
        <w:tc>
          <w:tcPr>
            <w:tcW w:w="4100" w:type="dxa"/>
            <w:tcBorders>
              <w:top w:val="nil"/>
              <w:left w:val="nil"/>
              <w:bottom w:val="single" w:sz="4" w:space="0" w:color="auto"/>
              <w:right w:val="single" w:sz="4" w:space="0" w:color="auto"/>
            </w:tcBorders>
            <w:shd w:val="clear" w:color="auto" w:fill="auto"/>
            <w:vAlign w:val="center"/>
          </w:tcPr>
          <w:p w:rsidR="00C40C26" w:rsidRDefault="00FC18C4">
            <w:pPr>
              <w:widowControl/>
              <w:rPr>
                <w:rFonts w:ascii="仿宋_GB2312" w:eastAsia="仿宋_GB2312" w:hAnsi="宋体" w:cs="Arial"/>
                <w:color w:val="000000"/>
                <w:kern w:val="0"/>
                <w:sz w:val="24"/>
              </w:rPr>
            </w:pPr>
            <w:r>
              <w:rPr>
                <w:rFonts w:ascii="仿宋_GB2312" w:eastAsia="仿宋_GB2312" w:cs="Arial" w:hint="eastAsia"/>
                <w:color w:val="000000"/>
                <w:sz w:val="24"/>
              </w:rPr>
              <w:t>打造特色化国家会客厅，建设外事接待资源体系</w:t>
            </w:r>
          </w:p>
        </w:tc>
      </w:tr>
      <w:tr w:rsidR="00C40C26">
        <w:trPr>
          <w:gridAfter w:val="1"/>
          <w:wAfter w:w="6" w:type="dxa"/>
          <w:trHeight w:val="397"/>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C40C26" w:rsidRDefault="00C40C26">
            <w:pPr>
              <w:widowControl/>
              <w:jc w:val="center"/>
              <w:rPr>
                <w:rFonts w:ascii="仿宋_GB2312" w:eastAsia="仿宋_GB2312" w:hAnsi="宋体" w:cs="Arial"/>
                <w:color w:val="000000"/>
                <w:kern w:val="0"/>
                <w:sz w:val="24"/>
              </w:rPr>
            </w:pPr>
          </w:p>
        </w:tc>
        <w:tc>
          <w:tcPr>
            <w:tcW w:w="2804" w:type="dxa"/>
            <w:vMerge/>
            <w:tcBorders>
              <w:top w:val="single" w:sz="4" w:space="0" w:color="auto"/>
              <w:left w:val="single" w:sz="4" w:space="0" w:color="auto"/>
              <w:bottom w:val="single" w:sz="4" w:space="0" w:color="auto"/>
              <w:right w:val="single" w:sz="4" w:space="0" w:color="auto"/>
            </w:tcBorders>
            <w:vAlign w:val="center"/>
          </w:tcPr>
          <w:p w:rsidR="00C40C26" w:rsidRDefault="00C40C26">
            <w:pPr>
              <w:widowControl/>
              <w:jc w:val="left"/>
              <w:rPr>
                <w:rFonts w:ascii="仿宋_GB2312" w:eastAsia="仿宋_GB2312" w:hAnsi="宋体" w:cs="Arial"/>
                <w:color w:val="000000"/>
                <w:kern w:val="0"/>
                <w:sz w:val="24"/>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C40C26" w:rsidRDefault="00C40C26">
            <w:pPr>
              <w:widowControl/>
              <w:jc w:val="left"/>
              <w:rPr>
                <w:rFonts w:ascii="仿宋_GB2312" w:eastAsia="仿宋_GB2312" w:hAnsi="宋体" w:cs="Arial"/>
                <w:color w:val="000000"/>
                <w:kern w:val="0"/>
                <w:sz w:val="24"/>
              </w:rPr>
            </w:pPr>
          </w:p>
        </w:tc>
        <w:tc>
          <w:tcPr>
            <w:tcW w:w="4100" w:type="dxa"/>
            <w:tcBorders>
              <w:top w:val="nil"/>
              <w:left w:val="nil"/>
              <w:bottom w:val="single" w:sz="4" w:space="0" w:color="auto"/>
              <w:right w:val="single" w:sz="4" w:space="0" w:color="auto"/>
            </w:tcBorders>
            <w:shd w:val="clear" w:color="auto" w:fill="auto"/>
            <w:vAlign w:val="center"/>
          </w:tcPr>
          <w:p w:rsidR="00C40C26" w:rsidRDefault="00FC18C4">
            <w:pPr>
              <w:widowControl/>
              <w:rPr>
                <w:rFonts w:ascii="仿宋_GB2312" w:eastAsia="仿宋_GB2312" w:hAnsi="宋体" w:cs="Arial"/>
                <w:color w:val="000000"/>
                <w:kern w:val="0"/>
                <w:sz w:val="24"/>
              </w:rPr>
            </w:pPr>
            <w:r>
              <w:rPr>
                <w:rFonts w:ascii="仿宋_GB2312" w:eastAsia="仿宋_GB2312" w:cs="Arial" w:hint="eastAsia"/>
                <w:color w:val="000000"/>
                <w:sz w:val="24"/>
              </w:rPr>
              <w:t>完成市属公园卫生间改造提升项目</w:t>
            </w:r>
          </w:p>
        </w:tc>
      </w:tr>
      <w:tr w:rsidR="00C40C26">
        <w:trPr>
          <w:gridAfter w:val="1"/>
          <w:wAfter w:w="6" w:type="dxa"/>
          <w:trHeight w:val="397"/>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C40C26" w:rsidRDefault="00C40C26">
            <w:pPr>
              <w:widowControl/>
              <w:jc w:val="center"/>
              <w:rPr>
                <w:rFonts w:ascii="仿宋_GB2312" w:eastAsia="仿宋_GB2312" w:hAnsi="宋体" w:cs="Arial"/>
                <w:color w:val="000000"/>
                <w:kern w:val="0"/>
                <w:sz w:val="24"/>
              </w:rPr>
            </w:pPr>
          </w:p>
        </w:tc>
        <w:tc>
          <w:tcPr>
            <w:tcW w:w="2804" w:type="dxa"/>
            <w:vMerge/>
            <w:tcBorders>
              <w:top w:val="single" w:sz="4" w:space="0" w:color="auto"/>
              <w:left w:val="single" w:sz="4" w:space="0" w:color="auto"/>
              <w:bottom w:val="single" w:sz="4" w:space="0" w:color="auto"/>
              <w:right w:val="single" w:sz="4" w:space="0" w:color="auto"/>
            </w:tcBorders>
            <w:vAlign w:val="center"/>
          </w:tcPr>
          <w:p w:rsidR="00C40C26" w:rsidRDefault="00C40C26">
            <w:pPr>
              <w:widowControl/>
              <w:jc w:val="left"/>
              <w:rPr>
                <w:rFonts w:ascii="仿宋_GB2312" w:eastAsia="仿宋_GB2312" w:hAnsi="宋体" w:cs="Arial"/>
                <w:color w:val="000000"/>
                <w:kern w:val="0"/>
                <w:sz w:val="24"/>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C40C26" w:rsidRDefault="00C40C26">
            <w:pPr>
              <w:widowControl/>
              <w:jc w:val="left"/>
              <w:rPr>
                <w:rFonts w:ascii="仿宋_GB2312" w:eastAsia="仿宋_GB2312" w:hAnsi="宋体" w:cs="Arial"/>
                <w:color w:val="000000"/>
                <w:kern w:val="0"/>
                <w:sz w:val="24"/>
              </w:rPr>
            </w:pPr>
          </w:p>
        </w:tc>
        <w:tc>
          <w:tcPr>
            <w:tcW w:w="4100" w:type="dxa"/>
            <w:tcBorders>
              <w:top w:val="nil"/>
              <w:left w:val="nil"/>
              <w:bottom w:val="single" w:sz="4" w:space="0" w:color="auto"/>
              <w:right w:val="single" w:sz="4" w:space="0" w:color="auto"/>
            </w:tcBorders>
            <w:shd w:val="clear" w:color="auto" w:fill="auto"/>
            <w:vAlign w:val="center"/>
          </w:tcPr>
          <w:p w:rsidR="00C40C26" w:rsidRDefault="00FC18C4">
            <w:pPr>
              <w:widowControl/>
              <w:rPr>
                <w:rFonts w:ascii="仿宋_GB2312" w:eastAsia="仿宋_GB2312" w:cs="Arial"/>
                <w:color w:val="000000"/>
                <w:sz w:val="24"/>
              </w:rPr>
            </w:pPr>
            <w:r>
              <w:rPr>
                <w:rFonts w:ascii="仿宋_GB2312" w:eastAsia="仿宋_GB2312" w:cs="Arial" w:hint="eastAsia"/>
                <w:color w:val="000000"/>
                <w:sz w:val="24"/>
              </w:rPr>
              <w:t>实现市属公园5G游船智慧管理服务运营</w:t>
            </w:r>
          </w:p>
        </w:tc>
      </w:tr>
      <w:tr w:rsidR="00C40C26">
        <w:trPr>
          <w:gridAfter w:val="1"/>
          <w:wAfter w:w="6" w:type="dxa"/>
          <w:trHeight w:val="397"/>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C40C26" w:rsidRDefault="00C40C26">
            <w:pPr>
              <w:widowControl/>
              <w:jc w:val="center"/>
              <w:rPr>
                <w:rFonts w:ascii="仿宋_GB2312" w:eastAsia="仿宋_GB2312" w:hAnsi="宋体" w:cs="Arial"/>
                <w:color w:val="000000"/>
                <w:kern w:val="0"/>
                <w:sz w:val="24"/>
              </w:rPr>
            </w:pPr>
          </w:p>
        </w:tc>
        <w:tc>
          <w:tcPr>
            <w:tcW w:w="2804" w:type="dxa"/>
            <w:vMerge/>
            <w:tcBorders>
              <w:top w:val="single" w:sz="4" w:space="0" w:color="auto"/>
              <w:left w:val="single" w:sz="4" w:space="0" w:color="auto"/>
              <w:bottom w:val="single" w:sz="4" w:space="0" w:color="auto"/>
              <w:right w:val="single" w:sz="4" w:space="0" w:color="auto"/>
            </w:tcBorders>
            <w:vAlign w:val="center"/>
          </w:tcPr>
          <w:p w:rsidR="00C40C26" w:rsidRDefault="00C40C26">
            <w:pPr>
              <w:widowControl/>
              <w:jc w:val="left"/>
              <w:rPr>
                <w:rFonts w:ascii="仿宋_GB2312" w:eastAsia="仿宋_GB2312" w:hAnsi="宋体" w:cs="Arial"/>
                <w:color w:val="000000"/>
                <w:kern w:val="0"/>
                <w:sz w:val="24"/>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C40C26" w:rsidRDefault="00C40C26">
            <w:pPr>
              <w:widowControl/>
              <w:jc w:val="left"/>
              <w:rPr>
                <w:rFonts w:ascii="仿宋_GB2312" w:eastAsia="仿宋_GB2312" w:hAnsi="宋体" w:cs="Arial"/>
                <w:color w:val="000000"/>
                <w:kern w:val="0"/>
                <w:sz w:val="24"/>
              </w:rPr>
            </w:pPr>
          </w:p>
        </w:tc>
        <w:tc>
          <w:tcPr>
            <w:tcW w:w="4100" w:type="dxa"/>
            <w:tcBorders>
              <w:top w:val="nil"/>
              <w:left w:val="nil"/>
              <w:bottom w:val="single" w:sz="4" w:space="0" w:color="auto"/>
              <w:right w:val="single" w:sz="4" w:space="0" w:color="auto"/>
            </w:tcBorders>
            <w:shd w:val="clear" w:color="auto" w:fill="auto"/>
            <w:vAlign w:val="center"/>
          </w:tcPr>
          <w:p w:rsidR="00C40C26" w:rsidRDefault="00FC18C4">
            <w:pPr>
              <w:widowControl/>
              <w:rPr>
                <w:rFonts w:ascii="仿宋_GB2312" w:eastAsia="仿宋_GB2312" w:cs="Arial"/>
                <w:color w:val="000000"/>
                <w:sz w:val="24"/>
              </w:rPr>
            </w:pPr>
            <w:r>
              <w:rPr>
                <w:rFonts w:ascii="仿宋_GB2312" w:eastAsia="仿宋_GB2312" w:cs="Arial" w:hint="eastAsia"/>
                <w:color w:val="000000"/>
                <w:sz w:val="24"/>
              </w:rPr>
              <w:t>推进市属公园票务服务转型和5G项目应用</w:t>
            </w:r>
          </w:p>
        </w:tc>
      </w:tr>
      <w:tr w:rsidR="00C40C26">
        <w:trPr>
          <w:gridAfter w:val="1"/>
          <w:wAfter w:w="6" w:type="dxa"/>
          <w:trHeight w:val="397"/>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C40C26" w:rsidRDefault="00C40C26">
            <w:pPr>
              <w:widowControl/>
              <w:jc w:val="center"/>
              <w:rPr>
                <w:rFonts w:ascii="仿宋_GB2312" w:eastAsia="仿宋_GB2312" w:hAnsi="宋体" w:cs="Arial"/>
                <w:color w:val="000000"/>
                <w:kern w:val="0"/>
                <w:sz w:val="24"/>
              </w:rPr>
            </w:pPr>
          </w:p>
        </w:tc>
        <w:tc>
          <w:tcPr>
            <w:tcW w:w="2804" w:type="dxa"/>
            <w:vMerge/>
            <w:tcBorders>
              <w:top w:val="single" w:sz="4" w:space="0" w:color="auto"/>
              <w:left w:val="single" w:sz="4" w:space="0" w:color="auto"/>
              <w:bottom w:val="single" w:sz="4" w:space="0" w:color="auto"/>
              <w:right w:val="single" w:sz="4" w:space="0" w:color="auto"/>
            </w:tcBorders>
            <w:vAlign w:val="center"/>
          </w:tcPr>
          <w:p w:rsidR="00C40C26" w:rsidRDefault="00C40C26">
            <w:pPr>
              <w:widowControl/>
              <w:jc w:val="left"/>
              <w:rPr>
                <w:rFonts w:ascii="仿宋_GB2312" w:eastAsia="仿宋_GB2312" w:hAnsi="宋体" w:cs="Arial"/>
                <w:color w:val="000000"/>
                <w:kern w:val="0"/>
                <w:sz w:val="24"/>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C40C26" w:rsidRDefault="00C40C26">
            <w:pPr>
              <w:widowControl/>
              <w:jc w:val="left"/>
              <w:rPr>
                <w:rFonts w:ascii="仿宋_GB2312" w:eastAsia="仿宋_GB2312" w:hAnsi="宋体" w:cs="Arial"/>
                <w:color w:val="000000"/>
                <w:kern w:val="0"/>
                <w:sz w:val="24"/>
              </w:rPr>
            </w:pPr>
          </w:p>
        </w:tc>
        <w:tc>
          <w:tcPr>
            <w:tcW w:w="4100" w:type="dxa"/>
            <w:tcBorders>
              <w:top w:val="nil"/>
              <w:left w:val="nil"/>
              <w:bottom w:val="single" w:sz="4" w:space="0" w:color="auto"/>
              <w:right w:val="single" w:sz="4" w:space="0" w:color="auto"/>
            </w:tcBorders>
            <w:shd w:val="clear" w:color="auto" w:fill="auto"/>
            <w:vAlign w:val="center"/>
          </w:tcPr>
          <w:p w:rsidR="00C40C26" w:rsidRDefault="00FC18C4">
            <w:pPr>
              <w:widowControl/>
              <w:rPr>
                <w:rFonts w:ascii="仿宋_GB2312" w:eastAsia="仿宋_GB2312" w:hAnsi="宋体" w:cs="Arial"/>
                <w:color w:val="000000"/>
                <w:kern w:val="0"/>
                <w:sz w:val="24"/>
              </w:rPr>
            </w:pPr>
            <w:r>
              <w:rPr>
                <w:rFonts w:ascii="仿宋_GB2312" w:eastAsia="仿宋_GB2312" w:hAnsi="仿宋_GB2312" w:cs="仿宋_GB2312" w:hint="eastAsia"/>
                <w:sz w:val="24"/>
              </w:rPr>
              <w:t>购置更新设备、规范服务设施</w:t>
            </w:r>
          </w:p>
        </w:tc>
      </w:tr>
      <w:tr w:rsidR="00C40C26">
        <w:trPr>
          <w:gridAfter w:val="1"/>
          <w:wAfter w:w="6" w:type="dxa"/>
          <w:trHeight w:val="397"/>
          <w:jc w:val="center"/>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40C26" w:rsidRDefault="00FC18C4">
            <w:pPr>
              <w:widowControl/>
              <w:jc w:val="center"/>
              <w:rPr>
                <w:rFonts w:ascii="仿宋_GB2312" w:eastAsia="仿宋_GB2312" w:hAnsi="宋体" w:cs="Arial"/>
                <w:color w:val="000000"/>
                <w:kern w:val="0"/>
                <w:sz w:val="24"/>
              </w:rPr>
            </w:pPr>
            <w:r>
              <w:rPr>
                <w:rFonts w:ascii="仿宋_GB2312" w:eastAsia="仿宋_GB2312" w:hAnsi="宋体" w:cs="Arial" w:hint="eastAsia"/>
                <w:color w:val="000000"/>
                <w:kern w:val="0"/>
                <w:sz w:val="24"/>
              </w:rPr>
              <w:t>四</w:t>
            </w:r>
          </w:p>
        </w:tc>
        <w:tc>
          <w:tcPr>
            <w:tcW w:w="28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40C26" w:rsidRDefault="00FC18C4">
            <w:pPr>
              <w:widowControl/>
              <w:jc w:val="left"/>
              <w:rPr>
                <w:rFonts w:ascii="仿宋_GB2312" w:eastAsia="仿宋_GB2312" w:hAnsi="宋体" w:cs="Arial"/>
                <w:color w:val="000000"/>
                <w:kern w:val="0"/>
                <w:sz w:val="24"/>
              </w:rPr>
            </w:pPr>
            <w:r>
              <w:rPr>
                <w:rFonts w:ascii="仿宋_GB2312" w:eastAsia="仿宋_GB2312" w:hAnsi="宋体" w:cs="Arial" w:hint="eastAsia"/>
                <w:color w:val="000000"/>
                <w:kern w:val="0"/>
                <w:sz w:val="24"/>
              </w:rPr>
              <w:t>负责市属公园和所属机构管理方式、管理制度、运行机制等问题的研究，并提出对策建议</w:t>
            </w:r>
          </w:p>
        </w:tc>
        <w:tc>
          <w:tcPr>
            <w:tcW w:w="14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40C26" w:rsidRDefault="00FC18C4">
            <w:pPr>
              <w:widowControl/>
              <w:jc w:val="left"/>
              <w:rPr>
                <w:rFonts w:ascii="仿宋_GB2312" w:eastAsia="仿宋_GB2312" w:hAnsi="宋体" w:cs="Arial"/>
                <w:color w:val="000000"/>
                <w:kern w:val="0"/>
                <w:sz w:val="24"/>
              </w:rPr>
            </w:pPr>
            <w:r>
              <w:rPr>
                <w:rFonts w:ascii="仿宋_GB2312" w:eastAsia="仿宋_GB2312" w:hAnsi="宋体" w:cs="Arial" w:hint="eastAsia"/>
                <w:color w:val="000000"/>
                <w:kern w:val="0"/>
                <w:sz w:val="24"/>
              </w:rPr>
              <w:t>努力打造良好生态环境</w:t>
            </w:r>
          </w:p>
        </w:tc>
        <w:tc>
          <w:tcPr>
            <w:tcW w:w="4100" w:type="dxa"/>
            <w:tcBorders>
              <w:top w:val="nil"/>
              <w:left w:val="nil"/>
              <w:bottom w:val="single" w:sz="4" w:space="0" w:color="auto"/>
              <w:right w:val="single" w:sz="4" w:space="0" w:color="auto"/>
            </w:tcBorders>
            <w:shd w:val="clear" w:color="auto" w:fill="auto"/>
            <w:vAlign w:val="center"/>
          </w:tcPr>
          <w:p w:rsidR="00C40C26" w:rsidRDefault="00FC18C4">
            <w:pPr>
              <w:widowControl/>
              <w:rPr>
                <w:rFonts w:ascii="仿宋_GB2312" w:eastAsia="仿宋_GB2312" w:hAnsi="宋体" w:cs="Arial"/>
                <w:color w:val="000000"/>
                <w:kern w:val="0"/>
                <w:sz w:val="24"/>
              </w:rPr>
            </w:pPr>
            <w:r>
              <w:rPr>
                <w:rFonts w:ascii="仿宋_GB2312" w:eastAsia="仿宋_GB2312" w:cs="Arial" w:hint="eastAsia"/>
                <w:color w:val="000000"/>
                <w:sz w:val="24"/>
              </w:rPr>
              <w:t>着力建设公园城市，完成国家植物园建设方案报审，推进后续规划建设</w:t>
            </w:r>
          </w:p>
        </w:tc>
      </w:tr>
      <w:tr w:rsidR="00C40C26">
        <w:trPr>
          <w:gridAfter w:val="1"/>
          <w:wAfter w:w="6" w:type="dxa"/>
          <w:trHeight w:val="397"/>
          <w:jc w:val="center"/>
        </w:trPr>
        <w:tc>
          <w:tcPr>
            <w:tcW w:w="846" w:type="dxa"/>
            <w:vMerge/>
            <w:tcBorders>
              <w:top w:val="nil"/>
              <w:left w:val="single" w:sz="4" w:space="0" w:color="auto"/>
              <w:bottom w:val="single" w:sz="4" w:space="0" w:color="auto"/>
              <w:right w:val="single" w:sz="4" w:space="0" w:color="auto"/>
            </w:tcBorders>
            <w:vAlign w:val="center"/>
          </w:tcPr>
          <w:p w:rsidR="00C40C26" w:rsidRDefault="00C40C26">
            <w:pPr>
              <w:widowControl/>
              <w:jc w:val="center"/>
              <w:rPr>
                <w:rFonts w:ascii="仿宋_GB2312" w:eastAsia="仿宋_GB2312" w:hAnsi="宋体" w:cs="Arial"/>
                <w:color w:val="000000"/>
                <w:kern w:val="0"/>
                <w:sz w:val="24"/>
              </w:rPr>
            </w:pPr>
          </w:p>
        </w:tc>
        <w:tc>
          <w:tcPr>
            <w:tcW w:w="2804" w:type="dxa"/>
            <w:vMerge/>
            <w:tcBorders>
              <w:top w:val="nil"/>
              <w:left w:val="single" w:sz="4" w:space="0" w:color="auto"/>
              <w:bottom w:val="single" w:sz="4" w:space="0" w:color="auto"/>
              <w:right w:val="single" w:sz="4" w:space="0" w:color="auto"/>
            </w:tcBorders>
            <w:vAlign w:val="center"/>
          </w:tcPr>
          <w:p w:rsidR="00C40C26" w:rsidRDefault="00C40C26">
            <w:pPr>
              <w:widowControl/>
              <w:jc w:val="left"/>
              <w:rPr>
                <w:rFonts w:ascii="仿宋_GB2312" w:eastAsia="仿宋_GB2312" w:hAnsi="宋体" w:cs="Arial"/>
                <w:color w:val="000000"/>
                <w:kern w:val="0"/>
                <w:sz w:val="24"/>
              </w:rPr>
            </w:pPr>
          </w:p>
        </w:tc>
        <w:tc>
          <w:tcPr>
            <w:tcW w:w="1487" w:type="dxa"/>
            <w:vMerge/>
            <w:tcBorders>
              <w:top w:val="nil"/>
              <w:left w:val="single" w:sz="4" w:space="0" w:color="auto"/>
              <w:bottom w:val="single" w:sz="4" w:space="0" w:color="auto"/>
              <w:right w:val="single" w:sz="4" w:space="0" w:color="auto"/>
            </w:tcBorders>
            <w:vAlign w:val="center"/>
          </w:tcPr>
          <w:p w:rsidR="00C40C26" w:rsidRDefault="00C40C26">
            <w:pPr>
              <w:widowControl/>
              <w:jc w:val="left"/>
              <w:rPr>
                <w:rFonts w:ascii="仿宋_GB2312" w:eastAsia="仿宋_GB2312" w:hAnsi="宋体" w:cs="Arial"/>
                <w:color w:val="000000"/>
                <w:kern w:val="0"/>
                <w:sz w:val="24"/>
              </w:rPr>
            </w:pPr>
          </w:p>
        </w:tc>
        <w:tc>
          <w:tcPr>
            <w:tcW w:w="4100" w:type="dxa"/>
            <w:tcBorders>
              <w:top w:val="nil"/>
              <w:left w:val="nil"/>
              <w:bottom w:val="single" w:sz="4" w:space="0" w:color="auto"/>
              <w:right w:val="single" w:sz="4" w:space="0" w:color="auto"/>
            </w:tcBorders>
            <w:shd w:val="clear" w:color="auto" w:fill="auto"/>
            <w:vAlign w:val="center"/>
          </w:tcPr>
          <w:p w:rsidR="00C40C26" w:rsidRDefault="00FC18C4">
            <w:pPr>
              <w:widowControl/>
              <w:rPr>
                <w:rFonts w:ascii="仿宋_GB2312" w:eastAsia="仿宋_GB2312" w:cs="Arial"/>
                <w:color w:val="000000"/>
                <w:sz w:val="24"/>
              </w:rPr>
            </w:pPr>
            <w:r>
              <w:rPr>
                <w:rFonts w:ascii="仿宋_GB2312" w:eastAsia="仿宋_GB2312" w:cs="Arial" w:hint="eastAsia"/>
                <w:color w:val="000000"/>
                <w:sz w:val="24"/>
              </w:rPr>
              <w:t>提升公园园区环境整治、展馆改造、</w:t>
            </w:r>
            <w:r>
              <w:rPr>
                <w:rFonts w:ascii="仿宋_GB2312" w:eastAsia="仿宋_GB2312" w:hAnsi="仿宋_GB2312" w:cs="仿宋_GB2312" w:hint="eastAsia"/>
                <w:sz w:val="24"/>
              </w:rPr>
              <w:t>部分建筑油饰修缮、索道设施改造等</w:t>
            </w:r>
          </w:p>
        </w:tc>
      </w:tr>
      <w:tr w:rsidR="00C40C26">
        <w:trPr>
          <w:gridAfter w:val="1"/>
          <w:wAfter w:w="6" w:type="dxa"/>
          <w:trHeight w:val="397"/>
          <w:jc w:val="center"/>
        </w:trPr>
        <w:tc>
          <w:tcPr>
            <w:tcW w:w="846" w:type="dxa"/>
            <w:vMerge/>
            <w:tcBorders>
              <w:top w:val="nil"/>
              <w:left w:val="single" w:sz="4" w:space="0" w:color="auto"/>
              <w:bottom w:val="single" w:sz="4" w:space="0" w:color="auto"/>
              <w:right w:val="single" w:sz="4" w:space="0" w:color="auto"/>
            </w:tcBorders>
            <w:vAlign w:val="center"/>
          </w:tcPr>
          <w:p w:rsidR="00C40C26" w:rsidRDefault="00C40C26">
            <w:pPr>
              <w:widowControl/>
              <w:jc w:val="center"/>
              <w:rPr>
                <w:rFonts w:ascii="仿宋_GB2312" w:eastAsia="仿宋_GB2312" w:hAnsi="宋体" w:cs="Arial"/>
                <w:color w:val="000000"/>
                <w:kern w:val="0"/>
                <w:sz w:val="24"/>
              </w:rPr>
            </w:pPr>
          </w:p>
        </w:tc>
        <w:tc>
          <w:tcPr>
            <w:tcW w:w="2804" w:type="dxa"/>
            <w:vMerge/>
            <w:tcBorders>
              <w:top w:val="nil"/>
              <w:left w:val="single" w:sz="4" w:space="0" w:color="auto"/>
              <w:bottom w:val="single" w:sz="4" w:space="0" w:color="auto"/>
              <w:right w:val="single" w:sz="4" w:space="0" w:color="auto"/>
            </w:tcBorders>
            <w:vAlign w:val="center"/>
          </w:tcPr>
          <w:p w:rsidR="00C40C26" w:rsidRDefault="00C40C26">
            <w:pPr>
              <w:widowControl/>
              <w:jc w:val="left"/>
              <w:rPr>
                <w:rFonts w:ascii="仿宋_GB2312" w:eastAsia="仿宋_GB2312" w:hAnsi="宋体" w:cs="Arial"/>
                <w:color w:val="000000"/>
                <w:kern w:val="0"/>
                <w:sz w:val="24"/>
              </w:rPr>
            </w:pPr>
          </w:p>
        </w:tc>
        <w:tc>
          <w:tcPr>
            <w:tcW w:w="1487" w:type="dxa"/>
            <w:vMerge/>
            <w:tcBorders>
              <w:top w:val="nil"/>
              <w:left w:val="single" w:sz="4" w:space="0" w:color="auto"/>
              <w:bottom w:val="single" w:sz="4" w:space="0" w:color="auto"/>
              <w:right w:val="single" w:sz="4" w:space="0" w:color="auto"/>
            </w:tcBorders>
            <w:vAlign w:val="center"/>
          </w:tcPr>
          <w:p w:rsidR="00C40C26" w:rsidRDefault="00C40C26">
            <w:pPr>
              <w:widowControl/>
              <w:jc w:val="left"/>
              <w:rPr>
                <w:rFonts w:ascii="仿宋_GB2312" w:eastAsia="仿宋_GB2312" w:hAnsi="宋体" w:cs="Arial"/>
                <w:color w:val="000000"/>
                <w:kern w:val="0"/>
                <w:sz w:val="24"/>
              </w:rPr>
            </w:pPr>
          </w:p>
        </w:tc>
        <w:tc>
          <w:tcPr>
            <w:tcW w:w="4100" w:type="dxa"/>
            <w:tcBorders>
              <w:top w:val="nil"/>
              <w:left w:val="nil"/>
              <w:bottom w:val="single" w:sz="4" w:space="0" w:color="auto"/>
              <w:right w:val="single" w:sz="4" w:space="0" w:color="auto"/>
            </w:tcBorders>
            <w:shd w:val="clear" w:color="auto" w:fill="auto"/>
            <w:vAlign w:val="center"/>
          </w:tcPr>
          <w:p w:rsidR="00C40C26" w:rsidRDefault="00FC18C4">
            <w:pPr>
              <w:widowControl/>
              <w:rPr>
                <w:rFonts w:ascii="仿宋_GB2312" w:eastAsia="仿宋_GB2312" w:hAnsi="宋体" w:cs="Arial"/>
                <w:color w:val="000000"/>
                <w:kern w:val="0"/>
                <w:sz w:val="24"/>
              </w:rPr>
            </w:pPr>
            <w:r>
              <w:rPr>
                <w:rFonts w:ascii="仿宋_GB2312" w:eastAsia="仿宋_GB2312" w:cs="Arial" w:hint="eastAsia"/>
                <w:color w:val="000000"/>
                <w:sz w:val="24"/>
              </w:rPr>
              <w:t>推进国家植物园温室景区展览、国家植物种质资源库、珍稀植物迁地保护基础设施、万松亭景区建设及桃花专类园改造提升</w:t>
            </w:r>
          </w:p>
        </w:tc>
      </w:tr>
      <w:tr w:rsidR="00C40C26">
        <w:trPr>
          <w:gridAfter w:val="1"/>
          <w:wAfter w:w="6" w:type="dxa"/>
          <w:trHeight w:val="397"/>
          <w:jc w:val="center"/>
        </w:trPr>
        <w:tc>
          <w:tcPr>
            <w:tcW w:w="846" w:type="dxa"/>
            <w:vMerge/>
            <w:tcBorders>
              <w:top w:val="nil"/>
              <w:left w:val="single" w:sz="4" w:space="0" w:color="auto"/>
              <w:bottom w:val="single" w:sz="4" w:space="0" w:color="auto"/>
              <w:right w:val="single" w:sz="4" w:space="0" w:color="auto"/>
            </w:tcBorders>
            <w:vAlign w:val="center"/>
          </w:tcPr>
          <w:p w:rsidR="00C40C26" w:rsidRDefault="00C40C26">
            <w:pPr>
              <w:widowControl/>
              <w:jc w:val="center"/>
              <w:rPr>
                <w:rFonts w:ascii="仿宋_GB2312" w:eastAsia="仿宋_GB2312" w:hAnsi="宋体" w:cs="Arial"/>
                <w:color w:val="000000"/>
                <w:kern w:val="0"/>
                <w:sz w:val="24"/>
              </w:rPr>
            </w:pPr>
          </w:p>
        </w:tc>
        <w:tc>
          <w:tcPr>
            <w:tcW w:w="2804" w:type="dxa"/>
            <w:vMerge/>
            <w:tcBorders>
              <w:top w:val="nil"/>
              <w:left w:val="single" w:sz="4" w:space="0" w:color="auto"/>
              <w:bottom w:val="single" w:sz="4" w:space="0" w:color="auto"/>
              <w:right w:val="single" w:sz="4" w:space="0" w:color="auto"/>
            </w:tcBorders>
            <w:vAlign w:val="center"/>
          </w:tcPr>
          <w:p w:rsidR="00C40C26" w:rsidRDefault="00C40C26">
            <w:pPr>
              <w:widowControl/>
              <w:jc w:val="left"/>
              <w:rPr>
                <w:rFonts w:ascii="仿宋_GB2312" w:eastAsia="仿宋_GB2312" w:hAnsi="宋体" w:cs="Arial"/>
                <w:color w:val="000000"/>
                <w:kern w:val="0"/>
                <w:sz w:val="24"/>
              </w:rPr>
            </w:pPr>
          </w:p>
        </w:tc>
        <w:tc>
          <w:tcPr>
            <w:tcW w:w="1487" w:type="dxa"/>
            <w:vMerge/>
            <w:tcBorders>
              <w:top w:val="nil"/>
              <w:left w:val="single" w:sz="4" w:space="0" w:color="auto"/>
              <w:bottom w:val="single" w:sz="4" w:space="0" w:color="auto"/>
              <w:right w:val="single" w:sz="4" w:space="0" w:color="auto"/>
            </w:tcBorders>
            <w:vAlign w:val="center"/>
          </w:tcPr>
          <w:p w:rsidR="00C40C26" w:rsidRDefault="00C40C26">
            <w:pPr>
              <w:widowControl/>
              <w:jc w:val="left"/>
              <w:rPr>
                <w:rFonts w:ascii="仿宋_GB2312" w:eastAsia="仿宋_GB2312" w:hAnsi="宋体" w:cs="Arial"/>
                <w:color w:val="000000"/>
                <w:kern w:val="0"/>
                <w:sz w:val="24"/>
              </w:rPr>
            </w:pPr>
          </w:p>
        </w:tc>
        <w:tc>
          <w:tcPr>
            <w:tcW w:w="4100" w:type="dxa"/>
            <w:tcBorders>
              <w:top w:val="nil"/>
              <w:left w:val="nil"/>
              <w:bottom w:val="single" w:sz="4" w:space="0" w:color="auto"/>
              <w:right w:val="single" w:sz="4" w:space="0" w:color="auto"/>
            </w:tcBorders>
            <w:shd w:val="clear" w:color="auto" w:fill="auto"/>
            <w:vAlign w:val="center"/>
          </w:tcPr>
          <w:p w:rsidR="00C40C26" w:rsidRDefault="00FC18C4">
            <w:pPr>
              <w:widowControl/>
              <w:rPr>
                <w:rFonts w:ascii="仿宋_GB2312" w:eastAsia="仿宋_GB2312" w:hAnsi="宋体" w:cs="Arial"/>
                <w:color w:val="000000"/>
                <w:kern w:val="0"/>
                <w:sz w:val="24"/>
              </w:rPr>
            </w:pPr>
            <w:r>
              <w:rPr>
                <w:rFonts w:ascii="仿宋_GB2312" w:eastAsia="仿宋_GB2312" w:cs="Arial" w:hint="eastAsia"/>
                <w:color w:val="000000"/>
                <w:sz w:val="24"/>
              </w:rPr>
              <w:t>提高公共绿色空间规模与品质</w:t>
            </w:r>
          </w:p>
        </w:tc>
      </w:tr>
      <w:tr w:rsidR="00C40C26">
        <w:trPr>
          <w:gridAfter w:val="1"/>
          <w:wAfter w:w="6" w:type="dxa"/>
          <w:trHeight w:val="397"/>
          <w:jc w:val="center"/>
        </w:trPr>
        <w:tc>
          <w:tcPr>
            <w:tcW w:w="846" w:type="dxa"/>
            <w:vMerge/>
            <w:tcBorders>
              <w:top w:val="nil"/>
              <w:left w:val="single" w:sz="4" w:space="0" w:color="auto"/>
              <w:bottom w:val="single" w:sz="4" w:space="0" w:color="auto"/>
              <w:right w:val="single" w:sz="4" w:space="0" w:color="auto"/>
            </w:tcBorders>
            <w:vAlign w:val="center"/>
          </w:tcPr>
          <w:p w:rsidR="00C40C26" w:rsidRDefault="00C40C26">
            <w:pPr>
              <w:widowControl/>
              <w:jc w:val="center"/>
              <w:rPr>
                <w:rFonts w:ascii="仿宋_GB2312" w:eastAsia="仿宋_GB2312" w:hAnsi="宋体" w:cs="Arial"/>
                <w:color w:val="000000"/>
                <w:kern w:val="0"/>
                <w:sz w:val="24"/>
              </w:rPr>
            </w:pPr>
          </w:p>
        </w:tc>
        <w:tc>
          <w:tcPr>
            <w:tcW w:w="2804" w:type="dxa"/>
            <w:vMerge/>
            <w:tcBorders>
              <w:top w:val="nil"/>
              <w:left w:val="single" w:sz="4" w:space="0" w:color="auto"/>
              <w:bottom w:val="single" w:sz="4" w:space="0" w:color="auto"/>
              <w:right w:val="single" w:sz="4" w:space="0" w:color="auto"/>
            </w:tcBorders>
            <w:vAlign w:val="center"/>
          </w:tcPr>
          <w:p w:rsidR="00C40C26" w:rsidRDefault="00C40C26">
            <w:pPr>
              <w:widowControl/>
              <w:jc w:val="left"/>
              <w:rPr>
                <w:rFonts w:ascii="仿宋_GB2312" w:eastAsia="仿宋_GB2312" w:hAnsi="宋体" w:cs="Arial"/>
                <w:color w:val="000000"/>
                <w:kern w:val="0"/>
                <w:sz w:val="24"/>
              </w:rPr>
            </w:pPr>
          </w:p>
        </w:tc>
        <w:tc>
          <w:tcPr>
            <w:tcW w:w="1487" w:type="dxa"/>
            <w:vMerge/>
            <w:tcBorders>
              <w:top w:val="nil"/>
              <w:left w:val="single" w:sz="4" w:space="0" w:color="auto"/>
              <w:bottom w:val="single" w:sz="4" w:space="0" w:color="auto"/>
              <w:right w:val="single" w:sz="4" w:space="0" w:color="auto"/>
            </w:tcBorders>
            <w:vAlign w:val="center"/>
          </w:tcPr>
          <w:p w:rsidR="00C40C26" w:rsidRDefault="00C40C26">
            <w:pPr>
              <w:widowControl/>
              <w:jc w:val="left"/>
              <w:rPr>
                <w:rFonts w:ascii="仿宋_GB2312" w:eastAsia="仿宋_GB2312" w:hAnsi="宋体" w:cs="Arial"/>
                <w:color w:val="000000"/>
                <w:kern w:val="0"/>
                <w:sz w:val="24"/>
              </w:rPr>
            </w:pPr>
          </w:p>
        </w:tc>
        <w:tc>
          <w:tcPr>
            <w:tcW w:w="4100" w:type="dxa"/>
            <w:tcBorders>
              <w:top w:val="nil"/>
              <w:left w:val="nil"/>
              <w:bottom w:val="single" w:sz="4" w:space="0" w:color="auto"/>
              <w:right w:val="single" w:sz="4" w:space="0" w:color="auto"/>
            </w:tcBorders>
            <w:shd w:val="clear" w:color="auto" w:fill="auto"/>
            <w:vAlign w:val="center"/>
          </w:tcPr>
          <w:p w:rsidR="00C40C26" w:rsidRDefault="00FC18C4">
            <w:pPr>
              <w:widowControl/>
              <w:rPr>
                <w:rFonts w:ascii="仿宋_GB2312" w:eastAsia="仿宋_GB2312" w:hAnsi="宋体" w:cs="Arial"/>
                <w:color w:val="000000"/>
                <w:kern w:val="0"/>
                <w:sz w:val="24"/>
              </w:rPr>
            </w:pPr>
            <w:r>
              <w:rPr>
                <w:rFonts w:ascii="仿宋_GB2312" w:eastAsia="仿宋_GB2312" w:cs="Arial" w:hint="eastAsia"/>
                <w:color w:val="000000"/>
                <w:sz w:val="24"/>
              </w:rPr>
              <w:t>古树名木保护项目</w:t>
            </w:r>
          </w:p>
        </w:tc>
      </w:tr>
      <w:tr w:rsidR="00C40C26">
        <w:trPr>
          <w:gridAfter w:val="1"/>
          <w:wAfter w:w="6" w:type="dxa"/>
          <w:trHeight w:val="397"/>
          <w:jc w:val="center"/>
        </w:trPr>
        <w:tc>
          <w:tcPr>
            <w:tcW w:w="846" w:type="dxa"/>
            <w:vMerge w:val="restart"/>
            <w:tcBorders>
              <w:top w:val="nil"/>
              <w:left w:val="single" w:sz="4" w:space="0" w:color="auto"/>
              <w:bottom w:val="single" w:sz="4" w:space="0" w:color="auto"/>
              <w:right w:val="single" w:sz="4" w:space="0" w:color="auto"/>
            </w:tcBorders>
            <w:shd w:val="clear" w:color="auto" w:fill="auto"/>
            <w:vAlign w:val="center"/>
          </w:tcPr>
          <w:p w:rsidR="00C40C26" w:rsidRDefault="00FC18C4">
            <w:pPr>
              <w:widowControl/>
              <w:jc w:val="center"/>
              <w:rPr>
                <w:rFonts w:ascii="仿宋_GB2312" w:eastAsia="仿宋_GB2312" w:hAnsi="宋体" w:cs="Arial"/>
                <w:color w:val="000000"/>
                <w:kern w:val="0"/>
                <w:sz w:val="24"/>
              </w:rPr>
            </w:pPr>
            <w:r>
              <w:rPr>
                <w:rFonts w:ascii="仿宋_GB2312" w:eastAsia="仿宋_GB2312" w:hAnsi="宋体" w:cs="Arial" w:hint="eastAsia"/>
                <w:color w:val="000000"/>
                <w:kern w:val="0"/>
                <w:sz w:val="24"/>
              </w:rPr>
              <w:t>五</w:t>
            </w:r>
          </w:p>
        </w:tc>
        <w:tc>
          <w:tcPr>
            <w:tcW w:w="2804" w:type="dxa"/>
            <w:vMerge w:val="restart"/>
            <w:tcBorders>
              <w:top w:val="nil"/>
              <w:left w:val="single" w:sz="4" w:space="0" w:color="auto"/>
              <w:bottom w:val="single" w:sz="4" w:space="0" w:color="auto"/>
              <w:right w:val="single" w:sz="4" w:space="0" w:color="auto"/>
            </w:tcBorders>
            <w:shd w:val="clear" w:color="auto" w:fill="auto"/>
            <w:vAlign w:val="center"/>
          </w:tcPr>
          <w:p w:rsidR="00C40C26" w:rsidRDefault="00FC18C4">
            <w:pPr>
              <w:widowControl/>
              <w:jc w:val="left"/>
              <w:rPr>
                <w:rFonts w:ascii="仿宋_GB2312" w:eastAsia="仿宋_GB2312" w:hAnsi="宋体" w:cs="Arial"/>
                <w:color w:val="000000"/>
                <w:kern w:val="0"/>
                <w:sz w:val="24"/>
              </w:rPr>
            </w:pPr>
            <w:r>
              <w:rPr>
                <w:rFonts w:ascii="仿宋_GB2312" w:eastAsia="仿宋_GB2312" w:hAnsi="宋体" w:cs="Arial" w:hint="eastAsia"/>
                <w:color w:val="000000"/>
                <w:kern w:val="0"/>
                <w:sz w:val="24"/>
              </w:rPr>
              <w:t>负责管理市属公园和所属机构，组织落实有关法律法规、政策措施、规章制度以及行业标准，并参与有关行业规划和标准的研究拟定工作</w:t>
            </w:r>
          </w:p>
        </w:tc>
        <w:tc>
          <w:tcPr>
            <w:tcW w:w="1487" w:type="dxa"/>
            <w:vMerge w:val="restart"/>
            <w:tcBorders>
              <w:top w:val="nil"/>
              <w:left w:val="single" w:sz="4" w:space="0" w:color="auto"/>
              <w:bottom w:val="single" w:sz="4" w:space="0" w:color="auto"/>
              <w:right w:val="single" w:sz="4" w:space="0" w:color="auto"/>
            </w:tcBorders>
            <w:shd w:val="clear" w:color="auto" w:fill="auto"/>
            <w:vAlign w:val="center"/>
          </w:tcPr>
          <w:p w:rsidR="00C40C26" w:rsidRDefault="00FC18C4">
            <w:pPr>
              <w:widowControl/>
              <w:jc w:val="left"/>
              <w:rPr>
                <w:rFonts w:ascii="仿宋_GB2312" w:eastAsia="仿宋_GB2312" w:hAnsi="宋体" w:cs="Arial"/>
                <w:color w:val="000000"/>
                <w:kern w:val="0"/>
                <w:sz w:val="24"/>
              </w:rPr>
            </w:pPr>
            <w:r>
              <w:rPr>
                <w:rFonts w:ascii="仿宋_GB2312" w:eastAsia="仿宋_GB2312" w:hAnsi="宋体" w:cs="Arial" w:hint="eastAsia"/>
                <w:color w:val="000000"/>
                <w:kern w:val="0"/>
                <w:sz w:val="24"/>
              </w:rPr>
              <w:t>有序推进文物保护利用</w:t>
            </w:r>
          </w:p>
        </w:tc>
        <w:tc>
          <w:tcPr>
            <w:tcW w:w="4100" w:type="dxa"/>
            <w:tcBorders>
              <w:top w:val="nil"/>
              <w:left w:val="nil"/>
              <w:bottom w:val="single" w:sz="4" w:space="0" w:color="auto"/>
              <w:right w:val="single" w:sz="4" w:space="0" w:color="auto"/>
            </w:tcBorders>
            <w:shd w:val="clear" w:color="auto" w:fill="auto"/>
            <w:vAlign w:val="center"/>
          </w:tcPr>
          <w:p w:rsidR="00C40C26" w:rsidRDefault="00FC18C4">
            <w:pPr>
              <w:widowControl/>
              <w:rPr>
                <w:rFonts w:ascii="仿宋_GB2312" w:eastAsia="仿宋_GB2312" w:hAnsi="宋体" w:cs="Arial"/>
                <w:color w:val="000000"/>
                <w:kern w:val="0"/>
                <w:sz w:val="24"/>
              </w:rPr>
            </w:pPr>
            <w:r>
              <w:rPr>
                <w:rFonts w:ascii="仿宋_GB2312" w:eastAsia="仿宋_GB2312" w:hAnsi="仿宋_GB2312" w:cs="仿宋_GB2312" w:hint="eastAsia"/>
                <w:sz w:val="24"/>
              </w:rPr>
              <w:t>用好建党、抗战、新中国成立三大红色文化主题片区资源，推进“进京赶考之路（北京段）”整体保护利用</w:t>
            </w:r>
          </w:p>
        </w:tc>
      </w:tr>
      <w:tr w:rsidR="00C40C26">
        <w:trPr>
          <w:gridAfter w:val="1"/>
          <w:wAfter w:w="6" w:type="dxa"/>
          <w:trHeight w:val="397"/>
          <w:jc w:val="center"/>
        </w:trPr>
        <w:tc>
          <w:tcPr>
            <w:tcW w:w="846" w:type="dxa"/>
            <w:vMerge/>
            <w:tcBorders>
              <w:top w:val="nil"/>
              <w:left w:val="single" w:sz="4" w:space="0" w:color="auto"/>
              <w:bottom w:val="single" w:sz="4" w:space="0" w:color="auto"/>
              <w:right w:val="single" w:sz="4" w:space="0" w:color="auto"/>
            </w:tcBorders>
            <w:vAlign w:val="center"/>
          </w:tcPr>
          <w:p w:rsidR="00C40C26" w:rsidRDefault="00C40C26">
            <w:pPr>
              <w:widowControl/>
              <w:jc w:val="center"/>
              <w:rPr>
                <w:rFonts w:ascii="仿宋_GB2312" w:eastAsia="仿宋_GB2312" w:hAnsi="宋体" w:cs="Arial"/>
                <w:color w:val="000000"/>
                <w:kern w:val="0"/>
                <w:sz w:val="24"/>
              </w:rPr>
            </w:pPr>
          </w:p>
        </w:tc>
        <w:tc>
          <w:tcPr>
            <w:tcW w:w="2804" w:type="dxa"/>
            <w:vMerge/>
            <w:tcBorders>
              <w:top w:val="nil"/>
              <w:left w:val="single" w:sz="4" w:space="0" w:color="auto"/>
              <w:bottom w:val="single" w:sz="4" w:space="0" w:color="auto"/>
              <w:right w:val="single" w:sz="4" w:space="0" w:color="auto"/>
            </w:tcBorders>
            <w:vAlign w:val="center"/>
          </w:tcPr>
          <w:p w:rsidR="00C40C26" w:rsidRDefault="00C40C26">
            <w:pPr>
              <w:widowControl/>
              <w:jc w:val="left"/>
              <w:rPr>
                <w:rFonts w:ascii="仿宋_GB2312" w:eastAsia="仿宋_GB2312" w:hAnsi="宋体" w:cs="Arial"/>
                <w:color w:val="000000"/>
                <w:kern w:val="0"/>
                <w:sz w:val="24"/>
              </w:rPr>
            </w:pPr>
          </w:p>
        </w:tc>
        <w:tc>
          <w:tcPr>
            <w:tcW w:w="1487" w:type="dxa"/>
            <w:vMerge/>
            <w:tcBorders>
              <w:top w:val="nil"/>
              <w:left w:val="single" w:sz="4" w:space="0" w:color="auto"/>
              <w:bottom w:val="single" w:sz="4" w:space="0" w:color="auto"/>
              <w:right w:val="single" w:sz="4" w:space="0" w:color="auto"/>
            </w:tcBorders>
            <w:vAlign w:val="center"/>
          </w:tcPr>
          <w:p w:rsidR="00C40C26" w:rsidRDefault="00C40C26">
            <w:pPr>
              <w:widowControl/>
              <w:jc w:val="left"/>
              <w:rPr>
                <w:rFonts w:ascii="仿宋_GB2312" w:eastAsia="仿宋_GB2312" w:hAnsi="宋体" w:cs="Arial"/>
                <w:color w:val="000000"/>
                <w:kern w:val="0"/>
                <w:sz w:val="24"/>
              </w:rPr>
            </w:pPr>
          </w:p>
        </w:tc>
        <w:tc>
          <w:tcPr>
            <w:tcW w:w="4100" w:type="dxa"/>
            <w:tcBorders>
              <w:top w:val="nil"/>
              <w:left w:val="nil"/>
              <w:bottom w:val="single" w:sz="4" w:space="0" w:color="auto"/>
              <w:right w:val="single" w:sz="4" w:space="0" w:color="auto"/>
            </w:tcBorders>
            <w:shd w:val="clear" w:color="auto" w:fill="auto"/>
            <w:vAlign w:val="center"/>
          </w:tcPr>
          <w:p w:rsidR="00C40C26" w:rsidRDefault="00FC18C4">
            <w:pPr>
              <w:widowControl/>
              <w:rPr>
                <w:rFonts w:ascii="仿宋_GB2312" w:eastAsia="仿宋_GB2312" w:hAnsi="宋体" w:cs="Arial"/>
                <w:color w:val="000000"/>
                <w:kern w:val="0"/>
                <w:sz w:val="24"/>
              </w:rPr>
            </w:pPr>
            <w:r>
              <w:rPr>
                <w:rFonts w:ascii="仿宋_GB2312" w:eastAsia="仿宋_GB2312" w:hAnsi="仿宋_GB2312" w:cs="仿宋_GB2312" w:hint="eastAsia"/>
                <w:sz w:val="24"/>
              </w:rPr>
              <w:t>对古建筑进行维护修缮</w:t>
            </w:r>
          </w:p>
        </w:tc>
      </w:tr>
      <w:tr w:rsidR="00C40C26">
        <w:trPr>
          <w:gridAfter w:val="1"/>
          <w:wAfter w:w="6" w:type="dxa"/>
          <w:trHeight w:val="397"/>
          <w:jc w:val="center"/>
        </w:trPr>
        <w:tc>
          <w:tcPr>
            <w:tcW w:w="846" w:type="dxa"/>
            <w:vMerge/>
            <w:tcBorders>
              <w:top w:val="nil"/>
              <w:left w:val="single" w:sz="4" w:space="0" w:color="auto"/>
              <w:bottom w:val="single" w:sz="4" w:space="0" w:color="auto"/>
              <w:right w:val="single" w:sz="4" w:space="0" w:color="auto"/>
            </w:tcBorders>
            <w:vAlign w:val="center"/>
          </w:tcPr>
          <w:p w:rsidR="00C40C26" w:rsidRDefault="00C40C26">
            <w:pPr>
              <w:widowControl/>
              <w:jc w:val="center"/>
              <w:rPr>
                <w:rFonts w:ascii="仿宋_GB2312" w:eastAsia="仿宋_GB2312" w:hAnsi="宋体" w:cs="Arial"/>
                <w:color w:val="000000"/>
                <w:kern w:val="0"/>
                <w:sz w:val="24"/>
              </w:rPr>
            </w:pPr>
          </w:p>
        </w:tc>
        <w:tc>
          <w:tcPr>
            <w:tcW w:w="2804" w:type="dxa"/>
            <w:vMerge/>
            <w:tcBorders>
              <w:top w:val="nil"/>
              <w:left w:val="single" w:sz="4" w:space="0" w:color="auto"/>
              <w:bottom w:val="single" w:sz="4" w:space="0" w:color="auto"/>
              <w:right w:val="single" w:sz="4" w:space="0" w:color="auto"/>
            </w:tcBorders>
            <w:vAlign w:val="center"/>
          </w:tcPr>
          <w:p w:rsidR="00C40C26" w:rsidRDefault="00C40C26">
            <w:pPr>
              <w:widowControl/>
              <w:jc w:val="left"/>
              <w:rPr>
                <w:rFonts w:ascii="仿宋_GB2312" w:eastAsia="仿宋_GB2312" w:hAnsi="宋体" w:cs="Arial"/>
                <w:color w:val="000000"/>
                <w:kern w:val="0"/>
                <w:sz w:val="24"/>
              </w:rPr>
            </w:pPr>
          </w:p>
        </w:tc>
        <w:tc>
          <w:tcPr>
            <w:tcW w:w="1487" w:type="dxa"/>
            <w:vMerge/>
            <w:tcBorders>
              <w:top w:val="nil"/>
              <w:left w:val="single" w:sz="4" w:space="0" w:color="auto"/>
              <w:bottom w:val="single" w:sz="4" w:space="0" w:color="auto"/>
              <w:right w:val="single" w:sz="4" w:space="0" w:color="auto"/>
            </w:tcBorders>
            <w:vAlign w:val="center"/>
          </w:tcPr>
          <w:p w:rsidR="00C40C26" w:rsidRDefault="00C40C26">
            <w:pPr>
              <w:widowControl/>
              <w:jc w:val="left"/>
              <w:rPr>
                <w:rFonts w:ascii="仿宋_GB2312" w:eastAsia="仿宋_GB2312" w:hAnsi="宋体" w:cs="Arial"/>
                <w:color w:val="000000"/>
                <w:kern w:val="0"/>
                <w:sz w:val="24"/>
              </w:rPr>
            </w:pPr>
          </w:p>
        </w:tc>
        <w:tc>
          <w:tcPr>
            <w:tcW w:w="4100" w:type="dxa"/>
            <w:tcBorders>
              <w:top w:val="nil"/>
              <w:left w:val="nil"/>
              <w:bottom w:val="single" w:sz="4" w:space="0" w:color="auto"/>
              <w:right w:val="single" w:sz="4" w:space="0" w:color="auto"/>
            </w:tcBorders>
            <w:shd w:val="clear" w:color="auto" w:fill="auto"/>
            <w:vAlign w:val="center"/>
          </w:tcPr>
          <w:p w:rsidR="00C40C26" w:rsidRDefault="00FC18C4">
            <w:pPr>
              <w:widowControl/>
              <w:rPr>
                <w:rFonts w:ascii="仿宋_GB2312" w:eastAsia="仿宋_GB2312" w:hAnsi="宋体" w:cs="Arial"/>
                <w:color w:val="000000"/>
                <w:kern w:val="0"/>
                <w:sz w:val="24"/>
              </w:rPr>
            </w:pPr>
            <w:r>
              <w:rPr>
                <w:rFonts w:ascii="仿宋_GB2312" w:eastAsia="仿宋_GB2312" w:hAnsi="仿宋_GB2312" w:cs="仿宋_GB2312" w:hint="eastAsia"/>
                <w:color w:val="000000"/>
                <w:sz w:val="24"/>
              </w:rPr>
              <w:t>加快推进重点文物腾退</w:t>
            </w:r>
            <w:r>
              <w:rPr>
                <w:rFonts w:ascii="仿宋_GB2312" w:eastAsia="仿宋_GB2312" w:hAnsi="仿宋_GB2312" w:cs="仿宋_GB2312" w:hint="eastAsia"/>
                <w:sz w:val="24"/>
              </w:rPr>
              <w:t>保护,积极争取腾退房源指标、并进行环境整治</w:t>
            </w:r>
          </w:p>
        </w:tc>
      </w:tr>
      <w:tr w:rsidR="00C40C26">
        <w:trPr>
          <w:gridAfter w:val="1"/>
          <w:wAfter w:w="6" w:type="dxa"/>
          <w:trHeight w:val="397"/>
          <w:jc w:val="center"/>
        </w:trPr>
        <w:tc>
          <w:tcPr>
            <w:tcW w:w="846" w:type="dxa"/>
            <w:vMerge/>
            <w:tcBorders>
              <w:top w:val="nil"/>
              <w:left w:val="single" w:sz="4" w:space="0" w:color="auto"/>
              <w:bottom w:val="single" w:sz="4" w:space="0" w:color="auto"/>
              <w:right w:val="single" w:sz="4" w:space="0" w:color="auto"/>
            </w:tcBorders>
            <w:vAlign w:val="center"/>
          </w:tcPr>
          <w:p w:rsidR="00C40C26" w:rsidRDefault="00C40C26">
            <w:pPr>
              <w:widowControl/>
              <w:jc w:val="center"/>
              <w:rPr>
                <w:rFonts w:ascii="仿宋_GB2312" w:eastAsia="仿宋_GB2312" w:hAnsi="宋体" w:cs="Arial"/>
                <w:color w:val="000000"/>
                <w:kern w:val="0"/>
                <w:sz w:val="24"/>
              </w:rPr>
            </w:pPr>
          </w:p>
        </w:tc>
        <w:tc>
          <w:tcPr>
            <w:tcW w:w="2804" w:type="dxa"/>
            <w:vMerge/>
            <w:tcBorders>
              <w:top w:val="nil"/>
              <w:left w:val="single" w:sz="4" w:space="0" w:color="auto"/>
              <w:bottom w:val="single" w:sz="4" w:space="0" w:color="auto"/>
              <w:right w:val="single" w:sz="4" w:space="0" w:color="auto"/>
            </w:tcBorders>
            <w:vAlign w:val="center"/>
          </w:tcPr>
          <w:p w:rsidR="00C40C26" w:rsidRDefault="00C40C26">
            <w:pPr>
              <w:widowControl/>
              <w:jc w:val="left"/>
              <w:rPr>
                <w:rFonts w:ascii="仿宋_GB2312" w:eastAsia="仿宋_GB2312" w:hAnsi="宋体" w:cs="Arial"/>
                <w:color w:val="000000"/>
                <w:kern w:val="0"/>
                <w:sz w:val="24"/>
              </w:rPr>
            </w:pPr>
          </w:p>
        </w:tc>
        <w:tc>
          <w:tcPr>
            <w:tcW w:w="1487" w:type="dxa"/>
            <w:vMerge/>
            <w:tcBorders>
              <w:top w:val="nil"/>
              <w:left w:val="single" w:sz="4" w:space="0" w:color="auto"/>
              <w:bottom w:val="single" w:sz="4" w:space="0" w:color="auto"/>
              <w:right w:val="single" w:sz="4" w:space="0" w:color="auto"/>
            </w:tcBorders>
            <w:vAlign w:val="center"/>
          </w:tcPr>
          <w:p w:rsidR="00C40C26" w:rsidRDefault="00C40C26">
            <w:pPr>
              <w:widowControl/>
              <w:jc w:val="left"/>
              <w:rPr>
                <w:rFonts w:ascii="仿宋_GB2312" w:eastAsia="仿宋_GB2312" w:hAnsi="宋体" w:cs="Arial"/>
                <w:color w:val="000000"/>
                <w:kern w:val="0"/>
                <w:sz w:val="24"/>
              </w:rPr>
            </w:pPr>
          </w:p>
        </w:tc>
        <w:tc>
          <w:tcPr>
            <w:tcW w:w="4100" w:type="dxa"/>
            <w:tcBorders>
              <w:top w:val="nil"/>
              <w:left w:val="nil"/>
              <w:bottom w:val="single" w:sz="4" w:space="0" w:color="auto"/>
              <w:right w:val="single" w:sz="4" w:space="0" w:color="auto"/>
            </w:tcBorders>
            <w:shd w:val="clear" w:color="auto" w:fill="auto"/>
            <w:vAlign w:val="center"/>
          </w:tcPr>
          <w:p w:rsidR="00C40C26" w:rsidRDefault="00FC18C4">
            <w:pPr>
              <w:widowControl/>
              <w:rPr>
                <w:rFonts w:ascii="仿宋_GB2312" w:eastAsia="仿宋_GB2312" w:hAnsi="宋体" w:cs="Arial"/>
                <w:color w:val="000000"/>
                <w:kern w:val="0"/>
                <w:sz w:val="24"/>
              </w:rPr>
            </w:pPr>
            <w:r>
              <w:rPr>
                <w:rFonts w:ascii="仿宋_GB2312" w:eastAsia="仿宋_GB2312" w:cs="Arial" w:hint="eastAsia"/>
                <w:sz w:val="24"/>
              </w:rPr>
              <w:t>加强长廊彩画文物研究性保护</w:t>
            </w:r>
          </w:p>
        </w:tc>
      </w:tr>
      <w:tr w:rsidR="00C40C26">
        <w:trPr>
          <w:gridAfter w:val="1"/>
          <w:wAfter w:w="6" w:type="dxa"/>
          <w:trHeight w:val="397"/>
          <w:jc w:val="center"/>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40C26" w:rsidRDefault="00FC18C4">
            <w:pPr>
              <w:widowControl/>
              <w:jc w:val="center"/>
              <w:rPr>
                <w:rFonts w:ascii="仿宋_GB2312" w:eastAsia="仿宋_GB2312" w:hAnsi="宋体" w:cs="Arial"/>
                <w:color w:val="000000"/>
                <w:kern w:val="0"/>
                <w:sz w:val="24"/>
              </w:rPr>
            </w:pPr>
            <w:r>
              <w:rPr>
                <w:rFonts w:ascii="仿宋_GB2312" w:eastAsia="仿宋_GB2312" w:hAnsi="宋体" w:cs="Arial" w:hint="eastAsia"/>
                <w:color w:val="000000"/>
                <w:kern w:val="0"/>
                <w:sz w:val="24"/>
              </w:rPr>
              <w:t>六</w:t>
            </w:r>
          </w:p>
        </w:tc>
        <w:tc>
          <w:tcPr>
            <w:tcW w:w="28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40C26" w:rsidRDefault="00FC18C4">
            <w:pPr>
              <w:widowControl/>
              <w:jc w:val="left"/>
              <w:rPr>
                <w:rFonts w:ascii="仿宋_GB2312" w:eastAsia="仿宋_GB2312" w:hAnsi="宋体" w:cs="Arial"/>
                <w:color w:val="000000"/>
                <w:kern w:val="0"/>
                <w:sz w:val="24"/>
              </w:rPr>
            </w:pPr>
            <w:r>
              <w:rPr>
                <w:rFonts w:ascii="仿宋_GB2312" w:eastAsia="仿宋_GB2312" w:hAnsi="宋体" w:cs="Arial" w:hint="eastAsia"/>
                <w:color w:val="000000"/>
                <w:kern w:val="0"/>
                <w:sz w:val="24"/>
              </w:rPr>
              <w:t>负责市属公园和所属机构安全生产、安全保卫、消防和社会治安综合治理工作</w:t>
            </w:r>
          </w:p>
        </w:tc>
        <w:tc>
          <w:tcPr>
            <w:tcW w:w="14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40C26" w:rsidRDefault="00FC18C4">
            <w:pPr>
              <w:widowControl/>
              <w:jc w:val="left"/>
              <w:rPr>
                <w:rFonts w:ascii="仿宋_GB2312" w:eastAsia="仿宋_GB2312" w:hAnsi="宋体" w:cs="Arial"/>
                <w:color w:val="000000"/>
                <w:kern w:val="0"/>
                <w:sz w:val="24"/>
              </w:rPr>
            </w:pPr>
            <w:r>
              <w:rPr>
                <w:rFonts w:ascii="仿宋_GB2312" w:eastAsia="仿宋_GB2312" w:hAnsi="宋体" w:cs="Arial" w:hint="eastAsia"/>
                <w:color w:val="000000"/>
                <w:kern w:val="0"/>
                <w:sz w:val="24"/>
              </w:rPr>
              <w:t>持续筑牢安全发展根基，不断提高精细化管理水平</w:t>
            </w:r>
          </w:p>
        </w:tc>
        <w:tc>
          <w:tcPr>
            <w:tcW w:w="4100" w:type="dxa"/>
            <w:tcBorders>
              <w:top w:val="nil"/>
              <w:left w:val="nil"/>
              <w:bottom w:val="single" w:sz="4" w:space="0" w:color="auto"/>
              <w:right w:val="single" w:sz="4" w:space="0" w:color="auto"/>
            </w:tcBorders>
            <w:shd w:val="clear" w:color="auto" w:fill="auto"/>
            <w:vAlign w:val="center"/>
          </w:tcPr>
          <w:p w:rsidR="00C40C26" w:rsidRDefault="00FC18C4">
            <w:pPr>
              <w:widowControl/>
              <w:rPr>
                <w:rFonts w:ascii="仿宋_GB2312" w:eastAsia="仿宋_GB2312" w:hAnsi="宋体" w:cs="Arial"/>
                <w:color w:val="000000"/>
                <w:kern w:val="0"/>
                <w:sz w:val="24"/>
              </w:rPr>
            </w:pPr>
            <w:r>
              <w:rPr>
                <w:rFonts w:ascii="仿宋_GB2312" w:eastAsia="仿宋_GB2312" w:cs="Arial" w:hint="eastAsia"/>
                <w:color w:val="000000"/>
                <w:sz w:val="24"/>
              </w:rPr>
              <w:t>规范重点地区旅游秩序，降低客流密度</w:t>
            </w:r>
          </w:p>
        </w:tc>
      </w:tr>
      <w:tr w:rsidR="00C40C26">
        <w:trPr>
          <w:gridAfter w:val="1"/>
          <w:wAfter w:w="6" w:type="dxa"/>
          <w:trHeight w:val="397"/>
          <w:jc w:val="center"/>
        </w:trPr>
        <w:tc>
          <w:tcPr>
            <w:tcW w:w="8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C40C26" w:rsidRDefault="00C40C26">
            <w:pPr>
              <w:widowControl/>
              <w:jc w:val="center"/>
              <w:rPr>
                <w:rFonts w:ascii="仿宋_GB2312" w:eastAsia="仿宋_GB2312" w:hAnsi="宋体" w:cs="Arial"/>
                <w:color w:val="000000"/>
                <w:kern w:val="0"/>
                <w:sz w:val="24"/>
              </w:rPr>
            </w:pPr>
          </w:p>
        </w:tc>
        <w:tc>
          <w:tcPr>
            <w:tcW w:w="2804" w:type="dxa"/>
            <w:vMerge/>
            <w:tcBorders>
              <w:top w:val="single" w:sz="4" w:space="0" w:color="auto"/>
              <w:left w:val="single" w:sz="4" w:space="0" w:color="auto"/>
              <w:bottom w:val="single" w:sz="4" w:space="0" w:color="auto"/>
              <w:right w:val="single" w:sz="4" w:space="0" w:color="auto"/>
            </w:tcBorders>
            <w:shd w:val="clear" w:color="auto" w:fill="auto"/>
            <w:vAlign w:val="center"/>
          </w:tcPr>
          <w:p w:rsidR="00C40C26" w:rsidRDefault="00C40C26">
            <w:pPr>
              <w:widowControl/>
              <w:jc w:val="left"/>
              <w:rPr>
                <w:rFonts w:ascii="仿宋_GB2312" w:eastAsia="仿宋_GB2312" w:hAnsi="宋体" w:cs="Arial"/>
                <w:color w:val="000000"/>
                <w:kern w:val="0"/>
                <w:sz w:val="24"/>
              </w:rPr>
            </w:pPr>
          </w:p>
        </w:tc>
        <w:tc>
          <w:tcPr>
            <w:tcW w:w="1487" w:type="dxa"/>
            <w:vMerge/>
            <w:tcBorders>
              <w:top w:val="single" w:sz="4" w:space="0" w:color="auto"/>
              <w:left w:val="single" w:sz="4" w:space="0" w:color="auto"/>
              <w:bottom w:val="single" w:sz="4" w:space="0" w:color="auto"/>
              <w:right w:val="single" w:sz="4" w:space="0" w:color="auto"/>
            </w:tcBorders>
            <w:shd w:val="clear" w:color="auto" w:fill="auto"/>
            <w:vAlign w:val="center"/>
          </w:tcPr>
          <w:p w:rsidR="00C40C26" w:rsidRDefault="00C40C26">
            <w:pPr>
              <w:widowControl/>
              <w:jc w:val="left"/>
              <w:rPr>
                <w:rFonts w:ascii="仿宋_GB2312" w:eastAsia="仿宋_GB2312" w:hAnsi="宋体" w:cs="Arial"/>
                <w:color w:val="000000"/>
                <w:kern w:val="0"/>
                <w:sz w:val="24"/>
              </w:rPr>
            </w:pPr>
          </w:p>
        </w:tc>
        <w:tc>
          <w:tcPr>
            <w:tcW w:w="4100" w:type="dxa"/>
            <w:tcBorders>
              <w:top w:val="nil"/>
              <w:left w:val="nil"/>
              <w:bottom w:val="single" w:sz="4" w:space="0" w:color="auto"/>
              <w:right w:val="single" w:sz="4" w:space="0" w:color="auto"/>
            </w:tcBorders>
            <w:shd w:val="clear" w:color="auto" w:fill="auto"/>
            <w:vAlign w:val="center"/>
          </w:tcPr>
          <w:p w:rsidR="00C40C26" w:rsidRDefault="00FC18C4">
            <w:pPr>
              <w:widowControl/>
              <w:rPr>
                <w:rFonts w:ascii="仿宋_GB2312" w:eastAsia="仿宋_GB2312" w:hAnsi="宋体" w:cs="Arial"/>
                <w:color w:val="000000"/>
                <w:kern w:val="0"/>
                <w:sz w:val="24"/>
              </w:rPr>
            </w:pPr>
            <w:r>
              <w:rPr>
                <w:rFonts w:ascii="仿宋_GB2312" w:eastAsia="仿宋_GB2312" w:cs="Arial" w:hint="eastAsia"/>
                <w:color w:val="000000"/>
                <w:sz w:val="24"/>
              </w:rPr>
              <w:t>强化交通综合治理</w:t>
            </w:r>
          </w:p>
        </w:tc>
      </w:tr>
      <w:tr w:rsidR="00C40C26">
        <w:trPr>
          <w:gridAfter w:val="1"/>
          <w:wAfter w:w="6" w:type="dxa"/>
          <w:trHeight w:val="397"/>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C40C26" w:rsidRDefault="00C40C26">
            <w:pPr>
              <w:widowControl/>
              <w:jc w:val="center"/>
              <w:rPr>
                <w:rFonts w:ascii="仿宋_GB2312" w:eastAsia="仿宋_GB2312" w:hAnsi="宋体" w:cs="Arial"/>
                <w:color w:val="000000"/>
                <w:kern w:val="0"/>
                <w:sz w:val="24"/>
              </w:rPr>
            </w:pPr>
          </w:p>
        </w:tc>
        <w:tc>
          <w:tcPr>
            <w:tcW w:w="2804" w:type="dxa"/>
            <w:vMerge/>
            <w:tcBorders>
              <w:top w:val="single" w:sz="4" w:space="0" w:color="auto"/>
              <w:left w:val="single" w:sz="4" w:space="0" w:color="auto"/>
              <w:bottom w:val="single" w:sz="4" w:space="0" w:color="auto"/>
              <w:right w:val="single" w:sz="4" w:space="0" w:color="auto"/>
            </w:tcBorders>
            <w:vAlign w:val="center"/>
          </w:tcPr>
          <w:p w:rsidR="00C40C26" w:rsidRDefault="00C40C26">
            <w:pPr>
              <w:widowControl/>
              <w:jc w:val="center"/>
              <w:rPr>
                <w:rFonts w:ascii="仿宋_GB2312" w:eastAsia="仿宋_GB2312" w:hAnsi="宋体" w:cs="Arial"/>
                <w:color w:val="000000"/>
                <w:kern w:val="0"/>
                <w:sz w:val="24"/>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C40C26" w:rsidRDefault="00C40C26">
            <w:pPr>
              <w:widowControl/>
              <w:jc w:val="center"/>
              <w:rPr>
                <w:rFonts w:ascii="仿宋_GB2312" w:eastAsia="仿宋_GB2312" w:hAnsi="宋体" w:cs="Arial"/>
                <w:color w:val="000000"/>
                <w:kern w:val="0"/>
                <w:sz w:val="24"/>
              </w:rPr>
            </w:pPr>
          </w:p>
        </w:tc>
        <w:tc>
          <w:tcPr>
            <w:tcW w:w="4100" w:type="dxa"/>
            <w:tcBorders>
              <w:top w:val="nil"/>
              <w:left w:val="nil"/>
              <w:bottom w:val="single" w:sz="4" w:space="0" w:color="auto"/>
              <w:right w:val="single" w:sz="4" w:space="0" w:color="auto"/>
            </w:tcBorders>
            <w:shd w:val="clear" w:color="auto" w:fill="auto"/>
            <w:vAlign w:val="center"/>
          </w:tcPr>
          <w:p w:rsidR="00C40C26" w:rsidRDefault="00FC18C4">
            <w:pPr>
              <w:widowControl/>
              <w:rPr>
                <w:rFonts w:ascii="仿宋_GB2312" w:eastAsia="仿宋_GB2312" w:hAnsi="宋体" w:cs="Arial"/>
                <w:color w:val="000000"/>
                <w:kern w:val="0"/>
                <w:sz w:val="24"/>
              </w:rPr>
            </w:pPr>
            <w:r>
              <w:rPr>
                <w:rFonts w:ascii="仿宋_GB2312" w:eastAsia="仿宋_GB2312" w:cs="Arial" w:hint="eastAsia"/>
                <w:color w:val="000000"/>
                <w:sz w:val="24"/>
              </w:rPr>
              <w:t>做好桥梁安全检测</w:t>
            </w:r>
          </w:p>
        </w:tc>
      </w:tr>
      <w:tr w:rsidR="00C40C26">
        <w:trPr>
          <w:gridAfter w:val="1"/>
          <w:wAfter w:w="6" w:type="dxa"/>
          <w:trHeight w:val="397"/>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C40C26" w:rsidRDefault="00C40C26">
            <w:pPr>
              <w:widowControl/>
              <w:jc w:val="center"/>
              <w:rPr>
                <w:rFonts w:ascii="仿宋_GB2312" w:eastAsia="仿宋_GB2312" w:hAnsi="宋体" w:cs="Arial"/>
                <w:color w:val="000000"/>
                <w:kern w:val="0"/>
                <w:sz w:val="24"/>
              </w:rPr>
            </w:pPr>
          </w:p>
        </w:tc>
        <w:tc>
          <w:tcPr>
            <w:tcW w:w="2804" w:type="dxa"/>
            <w:vMerge/>
            <w:tcBorders>
              <w:top w:val="single" w:sz="4" w:space="0" w:color="auto"/>
              <w:left w:val="single" w:sz="4" w:space="0" w:color="auto"/>
              <w:bottom w:val="single" w:sz="4" w:space="0" w:color="auto"/>
              <w:right w:val="single" w:sz="4" w:space="0" w:color="auto"/>
            </w:tcBorders>
            <w:vAlign w:val="center"/>
          </w:tcPr>
          <w:p w:rsidR="00C40C26" w:rsidRDefault="00C40C26">
            <w:pPr>
              <w:widowControl/>
              <w:jc w:val="center"/>
              <w:rPr>
                <w:rFonts w:ascii="仿宋_GB2312" w:eastAsia="仿宋_GB2312" w:hAnsi="宋体" w:cs="Arial"/>
                <w:color w:val="000000"/>
                <w:kern w:val="0"/>
                <w:sz w:val="24"/>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C40C26" w:rsidRDefault="00C40C26">
            <w:pPr>
              <w:widowControl/>
              <w:jc w:val="center"/>
              <w:rPr>
                <w:rFonts w:ascii="仿宋_GB2312" w:eastAsia="仿宋_GB2312" w:hAnsi="宋体" w:cs="Arial"/>
                <w:color w:val="000000"/>
                <w:kern w:val="0"/>
                <w:sz w:val="24"/>
              </w:rPr>
            </w:pPr>
          </w:p>
        </w:tc>
        <w:tc>
          <w:tcPr>
            <w:tcW w:w="4100" w:type="dxa"/>
            <w:tcBorders>
              <w:top w:val="nil"/>
              <w:left w:val="nil"/>
              <w:bottom w:val="single" w:sz="4" w:space="0" w:color="auto"/>
              <w:right w:val="single" w:sz="4" w:space="0" w:color="auto"/>
            </w:tcBorders>
            <w:shd w:val="clear" w:color="auto" w:fill="auto"/>
            <w:vAlign w:val="center"/>
          </w:tcPr>
          <w:p w:rsidR="00C40C26" w:rsidRDefault="00FC18C4">
            <w:pPr>
              <w:widowControl/>
              <w:rPr>
                <w:rFonts w:ascii="仿宋_GB2312" w:eastAsia="仿宋_GB2312" w:hAnsi="宋体" w:cs="Arial"/>
                <w:color w:val="000000"/>
                <w:kern w:val="0"/>
                <w:sz w:val="24"/>
              </w:rPr>
            </w:pPr>
            <w:r>
              <w:rPr>
                <w:rFonts w:ascii="仿宋_GB2312" w:eastAsia="仿宋_GB2312" w:cs="Arial" w:hint="eastAsia"/>
                <w:color w:val="000000"/>
                <w:sz w:val="24"/>
              </w:rPr>
              <w:t>陶然亭公园燃气</w:t>
            </w:r>
            <w:r>
              <w:rPr>
                <w:rFonts w:ascii="仿宋_GB2312" w:eastAsia="仿宋_GB2312" w:hAnsi="仿宋_GB2312" w:cs="仿宋_GB2312" w:hint="eastAsia"/>
                <w:sz w:val="24"/>
              </w:rPr>
              <w:t>整改、</w:t>
            </w:r>
            <w:r>
              <w:rPr>
                <w:rFonts w:ascii="仿宋_GB2312" w:eastAsia="仿宋_GB2312" w:cs="Arial" w:hint="eastAsia"/>
                <w:color w:val="000000"/>
                <w:sz w:val="24"/>
              </w:rPr>
              <w:t>排除隐患</w:t>
            </w:r>
            <w:r>
              <w:rPr>
                <w:rFonts w:ascii="仿宋_GB2312" w:eastAsia="仿宋_GB2312" w:hAnsi="仿宋_GB2312" w:cs="仿宋_GB2312" w:hint="eastAsia"/>
                <w:sz w:val="24"/>
              </w:rPr>
              <w:t>确保用气安全</w:t>
            </w:r>
          </w:p>
        </w:tc>
      </w:tr>
    </w:tbl>
    <w:p w:rsidR="00C40C26" w:rsidRDefault="00FC18C4">
      <w:pPr>
        <w:spacing w:line="360" w:lineRule="auto"/>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二</w:t>
      </w:r>
      <w:r>
        <w:rPr>
          <w:rFonts w:ascii="黑体" w:eastAsia="黑体" w:hAnsi="黑体" w:cs="宋体"/>
          <w:color w:val="000000"/>
          <w:kern w:val="0"/>
          <w:sz w:val="32"/>
          <w:szCs w:val="32"/>
        </w:rPr>
        <w:t>、</w:t>
      </w:r>
      <w:r>
        <w:rPr>
          <w:rFonts w:ascii="黑体" w:eastAsia="黑体" w:hAnsi="黑体" w:cs="宋体" w:hint="eastAsia"/>
          <w:color w:val="000000"/>
          <w:kern w:val="0"/>
          <w:sz w:val="32"/>
          <w:szCs w:val="32"/>
        </w:rPr>
        <w:t>当年</w:t>
      </w:r>
      <w:r>
        <w:rPr>
          <w:rFonts w:ascii="黑体" w:eastAsia="黑体" w:hAnsi="黑体" w:cs="宋体"/>
          <w:color w:val="000000"/>
          <w:kern w:val="0"/>
          <w:sz w:val="32"/>
          <w:szCs w:val="32"/>
        </w:rPr>
        <w:t>预算执行情况</w:t>
      </w:r>
    </w:p>
    <w:p w:rsidR="00C40C26" w:rsidRDefault="00FC18C4">
      <w:pPr>
        <w:widowControl/>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2023年</w:t>
      </w:r>
      <w:r>
        <w:rPr>
          <w:rFonts w:ascii="仿宋_GB2312" w:eastAsia="仿宋_GB2312" w:hAnsi="仿宋" w:cs="仿宋_GB2312"/>
          <w:sz w:val="32"/>
          <w:szCs w:val="32"/>
        </w:rPr>
        <w:t>全年</w:t>
      </w:r>
      <w:r>
        <w:rPr>
          <w:rFonts w:ascii="仿宋_GB2312" w:eastAsia="仿宋_GB2312" w:hAnsi="仿宋" w:cs="仿宋_GB2312" w:hint="eastAsia"/>
          <w:sz w:val="32"/>
          <w:szCs w:val="32"/>
        </w:rPr>
        <w:t>预算数</w:t>
      </w:r>
      <w:r>
        <w:rPr>
          <w:rFonts w:ascii="仿宋_GB2312" w:eastAsia="仿宋_GB2312" w:hAnsi="仿宋" w:cs="仿宋_GB2312"/>
          <w:sz w:val="32"/>
          <w:szCs w:val="32"/>
        </w:rPr>
        <w:t xml:space="preserve">341,041.53 </w:t>
      </w:r>
      <w:r>
        <w:rPr>
          <w:rFonts w:ascii="仿宋_GB2312" w:eastAsia="仿宋_GB2312" w:hAnsi="仿宋" w:cs="仿宋_GB2312" w:hint="eastAsia"/>
          <w:sz w:val="32"/>
          <w:szCs w:val="32"/>
        </w:rPr>
        <w:t>万元</w:t>
      </w:r>
      <w:r>
        <w:rPr>
          <w:rFonts w:ascii="仿宋_GB2312" w:eastAsia="仿宋_GB2312" w:hAnsi="仿宋" w:cs="仿宋_GB2312"/>
          <w:sz w:val="32"/>
          <w:szCs w:val="32"/>
        </w:rPr>
        <w:t>，</w:t>
      </w:r>
      <w:r>
        <w:rPr>
          <w:rFonts w:ascii="仿宋_GB2312" w:eastAsia="仿宋_GB2312" w:hAnsi="仿宋" w:cs="仿宋_GB2312" w:hint="eastAsia"/>
          <w:sz w:val="32"/>
          <w:szCs w:val="32"/>
        </w:rPr>
        <w:t>其中</w:t>
      </w:r>
      <w:r>
        <w:rPr>
          <w:rFonts w:ascii="仿宋_GB2312" w:eastAsia="仿宋_GB2312" w:hAnsi="仿宋" w:cs="仿宋_GB2312"/>
          <w:sz w:val="32"/>
          <w:szCs w:val="32"/>
        </w:rPr>
        <w:t>，基本</w:t>
      </w:r>
      <w:r>
        <w:rPr>
          <w:rFonts w:ascii="仿宋_GB2312" w:eastAsia="仿宋_GB2312" w:hAnsi="仿宋" w:cs="仿宋_GB2312" w:hint="eastAsia"/>
          <w:sz w:val="32"/>
          <w:szCs w:val="32"/>
        </w:rPr>
        <w:t>支出</w:t>
      </w:r>
      <w:r>
        <w:rPr>
          <w:rFonts w:ascii="仿宋_GB2312" w:eastAsia="仿宋_GB2312" w:hAnsi="仿宋" w:cs="仿宋_GB2312"/>
          <w:sz w:val="32"/>
          <w:szCs w:val="32"/>
        </w:rPr>
        <w:t>预算数237</w:t>
      </w:r>
      <w:r>
        <w:rPr>
          <w:rFonts w:ascii="仿宋_GB2312" w:eastAsia="仿宋_GB2312" w:hAnsi="仿宋" w:cs="仿宋_GB2312" w:hint="eastAsia"/>
          <w:sz w:val="32"/>
          <w:szCs w:val="32"/>
        </w:rPr>
        <w:t>,</w:t>
      </w:r>
      <w:r>
        <w:rPr>
          <w:rFonts w:ascii="仿宋_GB2312" w:eastAsia="仿宋_GB2312" w:hAnsi="仿宋" w:cs="仿宋_GB2312"/>
          <w:sz w:val="32"/>
          <w:szCs w:val="32"/>
        </w:rPr>
        <w:t>542</w:t>
      </w:r>
      <w:r>
        <w:rPr>
          <w:rFonts w:ascii="仿宋_GB2312" w:eastAsia="仿宋_GB2312" w:hAnsi="仿宋" w:cs="仿宋_GB2312" w:hint="eastAsia"/>
          <w:sz w:val="32"/>
          <w:szCs w:val="32"/>
        </w:rPr>
        <w:t>.</w:t>
      </w:r>
      <w:r>
        <w:rPr>
          <w:rFonts w:ascii="仿宋_GB2312" w:eastAsia="仿宋_GB2312" w:hAnsi="仿宋" w:cs="仿宋_GB2312"/>
          <w:sz w:val="32"/>
          <w:szCs w:val="32"/>
        </w:rPr>
        <w:t>88 万元</w:t>
      </w:r>
      <w:r>
        <w:rPr>
          <w:rFonts w:ascii="仿宋_GB2312" w:eastAsia="仿宋_GB2312" w:hAnsi="仿宋" w:cs="仿宋_GB2312" w:hint="eastAsia"/>
          <w:sz w:val="32"/>
          <w:szCs w:val="32"/>
        </w:rPr>
        <w:t>、项目支出预算数</w:t>
      </w:r>
      <w:r>
        <w:rPr>
          <w:rFonts w:ascii="仿宋_GB2312" w:eastAsia="仿宋_GB2312" w:hAnsi="仿宋" w:cs="仿宋_GB2312"/>
          <w:sz w:val="32"/>
          <w:szCs w:val="32"/>
        </w:rPr>
        <w:t>80</w:t>
      </w:r>
      <w:r>
        <w:rPr>
          <w:rFonts w:ascii="仿宋_GB2312" w:eastAsia="仿宋_GB2312" w:hAnsi="仿宋" w:cs="仿宋_GB2312" w:hint="eastAsia"/>
          <w:sz w:val="32"/>
          <w:szCs w:val="32"/>
        </w:rPr>
        <w:t>,</w:t>
      </w:r>
      <w:r>
        <w:rPr>
          <w:rFonts w:ascii="仿宋_GB2312" w:eastAsia="仿宋_GB2312" w:hAnsi="仿宋" w:cs="仿宋_GB2312"/>
          <w:sz w:val="32"/>
          <w:szCs w:val="32"/>
        </w:rPr>
        <w:t>680</w:t>
      </w:r>
      <w:r>
        <w:rPr>
          <w:rFonts w:ascii="仿宋_GB2312" w:eastAsia="仿宋_GB2312" w:hAnsi="仿宋" w:cs="仿宋_GB2312" w:hint="eastAsia"/>
          <w:sz w:val="32"/>
          <w:szCs w:val="32"/>
        </w:rPr>
        <w:t>.</w:t>
      </w:r>
      <w:r>
        <w:rPr>
          <w:rFonts w:ascii="仿宋_GB2312" w:eastAsia="仿宋_GB2312" w:hAnsi="仿宋" w:cs="仿宋_GB2312"/>
          <w:sz w:val="32"/>
          <w:szCs w:val="32"/>
        </w:rPr>
        <w:t>6</w:t>
      </w:r>
      <w:r>
        <w:rPr>
          <w:rFonts w:ascii="仿宋_GB2312" w:eastAsia="仿宋_GB2312" w:hAnsi="仿宋" w:cs="仿宋_GB2312" w:hint="eastAsia"/>
          <w:sz w:val="32"/>
          <w:szCs w:val="32"/>
        </w:rPr>
        <w:t>8</w:t>
      </w:r>
      <w:r>
        <w:rPr>
          <w:rFonts w:ascii="仿宋_GB2312" w:eastAsia="仿宋_GB2312" w:hAnsi="仿宋" w:cs="仿宋_GB2312"/>
          <w:sz w:val="32"/>
          <w:szCs w:val="32"/>
        </w:rPr>
        <w:t xml:space="preserve"> 万元</w:t>
      </w:r>
      <w:r>
        <w:rPr>
          <w:rFonts w:ascii="仿宋_GB2312" w:eastAsia="仿宋_GB2312" w:hAnsi="仿宋" w:cs="仿宋_GB2312" w:hint="eastAsia"/>
          <w:sz w:val="32"/>
          <w:szCs w:val="32"/>
        </w:rPr>
        <w:t>、经营支出25.25万元、对附属单位补助支出22,792.72万元。</w:t>
      </w:r>
      <w:r>
        <w:rPr>
          <w:rFonts w:ascii="仿宋_GB2312" w:eastAsia="仿宋_GB2312" w:hAnsi="仿宋" w:cs="仿宋_GB2312"/>
          <w:sz w:val="32"/>
          <w:szCs w:val="32"/>
        </w:rPr>
        <w:t>资金总体</w:t>
      </w:r>
      <w:r>
        <w:rPr>
          <w:rFonts w:ascii="仿宋_GB2312" w:eastAsia="仿宋_GB2312" w:hAnsi="仿宋" w:cs="仿宋_GB2312" w:hint="eastAsia"/>
          <w:sz w:val="32"/>
          <w:szCs w:val="32"/>
        </w:rPr>
        <w:t>支出</w:t>
      </w:r>
      <w:r>
        <w:rPr>
          <w:rFonts w:ascii="仿宋_GB2312" w:eastAsia="仿宋_GB2312" w:hAnsi="仿宋" w:cs="仿宋_GB2312"/>
          <w:sz w:val="32"/>
          <w:szCs w:val="32"/>
        </w:rPr>
        <w:t>30</w:t>
      </w:r>
      <w:r>
        <w:rPr>
          <w:rFonts w:ascii="仿宋_GB2312" w:eastAsia="仿宋_GB2312" w:hAnsi="仿宋" w:cs="仿宋_GB2312" w:hint="eastAsia"/>
          <w:sz w:val="32"/>
          <w:szCs w:val="32"/>
        </w:rPr>
        <w:t>5,575.37</w:t>
      </w:r>
      <w:r>
        <w:rPr>
          <w:rFonts w:ascii="仿宋_GB2312" w:eastAsia="仿宋_GB2312" w:hAnsi="仿宋" w:cs="仿宋_GB2312"/>
          <w:sz w:val="32"/>
          <w:szCs w:val="32"/>
        </w:rPr>
        <w:t>万元，其中，基本支出234</w:t>
      </w:r>
      <w:r>
        <w:rPr>
          <w:rFonts w:ascii="仿宋_GB2312" w:eastAsia="仿宋_GB2312" w:hAnsi="仿宋" w:cs="仿宋_GB2312" w:hint="eastAsia"/>
          <w:sz w:val="32"/>
          <w:szCs w:val="32"/>
        </w:rPr>
        <w:t>,</w:t>
      </w:r>
      <w:r>
        <w:rPr>
          <w:rFonts w:ascii="仿宋_GB2312" w:eastAsia="仿宋_GB2312" w:hAnsi="仿宋" w:cs="仿宋_GB2312"/>
          <w:sz w:val="32"/>
          <w:szCs w:val="32"/>
        </w:rPr>
        <w:t>257</w:t>
      </w:r>
      <w:r>
        <w:rPr>
          <w:rFonts w:ascii="仿宋_GB2312" w:eastAsia="仿宋_GB2312" w:hAnsi="仿宋" w:cs="仿宋_GB2312" w:hint="eastAsia"/>
          <w:sz w:val="32"/>
          <w:szCs w:val="32"/>
        </w:rPr>
        <w:t>.</w:t>
      </w:r>
      <w:r>
        <w:rPr>
          <w:rFonts w:ascii="仿宋_GB2312" w:eastAsia="仿宋_GB2312" w:hAnsi="仿宋" w:cs="仿宋_GB2312"/>
          <w:sz w:val="32"/>
          <w:szCs w:val="32"/>
        </w:rPr>
        <w:t>94 万元</w:t>
      </w:r>
      <w:r>
        <w:rPr>
          <w:rFonts w:ascii="仿宋_GB2312" w:eastAsia="仿宋_GB2312" w:hAnsi="仿宋" w:cs="仿宋_GB2312" w:hint="eastAsia"/>
          <w:sz w:val="32"/>
          <w:szCs w:val="32"/>
        </w:rPr>
        <w:t>、</w:t>
      </w:r>
      <w:r>
        <w:rPr>
          <w:rFonts w:ascii="仿宋_GB2312" w:eastAsia="仿宋_GB2312" w:hAnsi="仿宋" w:cs="仿宋_GB2312"/>
          <w:sz w:val="32"/>
          <w:szCs w:val="32"/>
        </w:rPr>
        <w:t>项目</w:t>
      </w:r>
      <w:r>
        <w:rPr>
          <w:rFonts w:ascii="仿宋_GB2312" w:eastAsia="仿宋_GB2312" w:hAnsi="仿宋" w:cs="仿宋_GB2312" w:hint="eastAsia"/>
          <w:sz w:val="32"/>
          <w:szCs w:val="32"/>
        </w:rPr>
        <w:t>支出</w:t>
      </w:r>
      <w:r>
        <w:rPr>
          <w:rFonts w:ascii="仿宋_GB2312" w:eastAsia="仿宋_GB2312" w:hAnsi="仿宋" w:cs="仿宋_GB2312"/>
          <w:sz w:val="32"/>
          <w:szCs w:val="32"/>
        </w:rPr>
        <w:t>71</w:t>
      </w:r>
      <w:r>
        <w:rPr>
          <w:rFonts w:ascii="仿宋_GB2312" w:eastAsia="仿宋_GB2312" w:hAnsi="仿宋" w:cs="仿宋_GB2312" w:hint="eastAsia"/>
          <w:sz w:val="32"/>
          <w:szCs w:val="32"/>
        </w:rPr>
        <w:t>,</w:t>
      </w:r>
      <w:r>
        <w:rPr>
          <w:rFonts w:ascii="仿宋_GB2312" w:eastAsia="仿宋_GB2312" w:hAnsi="仿宋" w:cs="仿宋_GB2312"/>
          <w:sz w:val="32"/>
          <w:szCs w:val="32"/>
        </w:rPr>
        <w:t>292</w:t>
      </w:r>
      <w:r>
        <w:rPr>
          <w:rFonts w:ascii="仿宋_GB2312" w:eastAsia="仿宋_GB2312" w:hAnsi="仿宋" w:cs="仿宋_GB2312" w:hint="eastAsia"/>
          <w:sz w:val="32"/>
          <w:szCs w:val="32"/>
        </w:rPr>
        <w:t>.</w:t>
      </w:r>
      <w:r>
        <w:rPr>
          <w:rFonts w:ascii="仿宋_GB2312" w:eastAsia="仿宋_GB2312" w:hAnsi="仿宋" w:cs="仿宋_GB2312"/>
          <w:sz w:val="32"/>
          <w:szCs w:val="32"/>
        </w:rPr>
        <w:t>18 万元</w:t>
      </w:r>
      <w:r>
        <w:rPr>
          <w:rFonts w:ascii="仿宋_GB2312" w:eastAsia="仿宋_GB2312" w:hAnsi="仿宋" w:cs="仿宋_GB2312" w:hint="eastAsia"/>
          <w:sz w:val="32"/>
          <w:szCs w:val="32"/>
        </w:rPr>
        <w:t>、经营支出25.25</w:t>
      </w:r>
      <w:r>
        <w:rPr>
          <w:rFonts w:ascii="仿宋_GB2312" w:eastAsia="仿宋_GB2312" w:hAnsi="仿宋" w:cs="仿宋_GB2312"/>
          <w:sz w:val="32"/>
          <w:szCs w:val="32"/>
        </w:rPr>
        <w:t>万元</w:t>
      </w:r>
      <w:r>
        <w:rPr>
          <w:rFonts w:ascii="仿宋_GB2312" w:eastAsia="仿宋_GB2312" w:hAnsi="仿宋" w:cs="仿宋_GB2312" w:hint="eastAsia"/>
          <w:sz w:val="32"/>
          <w:szCs w:val="32"/>
        </w:rPr>
        <w:t>、对附属单位补助支出0.00万元</w:t>
      </w:r>
      <w:r>
        <w:rPr>
          <w:rFonts w:ascii="仿宋_GB2312" w:eastAsia="仿宋_GB2312" w:hAnsi="仿宋" w:cs="仿宋_GB2312"/>
          <w:sz w:val="32"/>
          <w:szCs w:val="32"/>
        </w:rPr>
        <w:t>。</w:t>
      </w:r>
      <w:r>
        <w:rPr>
          <w:rFonts w:ascii="仿宋_GB2312" w:eastAsia="仿宋_GB2312" w:hAnsi="仿宋" w:cs="仿宋_GB2312" w:hint="eastAsia"/>
          <w:sz w:val="32"/>
          <w:szCs w:val="32"/>
        </w:rPr>
        <w:t>预算</w:t>
      </w:r>
      <w:r>
        <w:rPr>
          <w:rFonts w:ascii="仿宋_GB2312" w:eastAsia="仿宋_GB2312" w:hAnsi="仿宋" w:cs="仿宋_GB2312"/>
          <w:sz w:val="32"/>
          <w:szCs w:val="32"/>
        </w:rPr>
        <w:t>执行率为</w:t>
      </w:r>
      <w:r>
        <w:rPr>
          <w:rFonts w:ascii="仿宋_GB2312" w:eastAsia="仿宋_GB2312" w:hAnsi="仿宋" w:cs="仿宋_GB2312" w:hint="eastAsia"/>
          <w:sz w:val="32"/>
          <w:szCs w:val="32"/>
        </w:rPr>
        <w:t>89.60%。</w:t>
      </w:r>
    </w:p>
    <w:p w:rsidR="00C40C26" w:rsidRDefault="00FC18C4">
      <w:pPr>
        <w:spacing w:line="360" w:lineRule="auto"/>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三</w:t>
      </w:r>
      <w:r>
        <w:rPr>
          <w:rFonts w:ascii="黑体" w:eastAsia="黑体" w:hAnsi="黑体" w:cs="宋体"/>
          <w:color w:val="000000"/>
          <w:kern w:val="0"/>
          <w:sz w:val="32"/>
          <w:szCs w:val="32"/>
        </w:rPr>
        <w:t>、整体绩效目标实现情况</w:t>
      </w:r>
    </w:p>
    <w:p w:rsidR="00C40C26" w:rsidRDefault="00FC18C4">
      <w:pPr>
        <w:spacing w:line="360" w:lineRule="auto"/>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（一）产出完成情况分析</w:t>
      </w:r>
    </w:p>
    <w:p w:rsidR="00C40C26" w:rsidRDefault="00FC18C4">
      <w:pPr>
        <w:spacing w:line="360" w:lineRule="auto"/>
        <w:ind w:firstLineChars="200" w:firstLine="640"/>
        <w:rPr>
          <w:rFonts w:ascii="仿宋_GB2312" w:eastAsia="仿宋_GB2312" w:hAnsi="仿宋_GB2312" w:cs="仿宋_GB2312"/>
          <w:sz w:val="32"/>
          <w:szCs w:val="32"/>
          <w:highlight w:val="yellow"/>
        </w:rPr>
      </w:pPr>
      <w:r>
        <w:rPr>
          <w:rFonts w:ascii="仿宋_GB2312" w:eastAsia="仿宋_GB2312" w:hAnsi="仿宋" w:cs="仿宋_GB2312" w:hint="eastAsia"/>
          <w:sz w:val="32"/>
          <w:szCs w:val="32"/>
        </w:rPr>
        <w:t>2023年是</w:t>
      </w:r>
      <w:r>
        <w:rPr>
          <w:rFonts w:ascii="仿宋_GB2312" w:eastAsia="仿宋_GB2312" w:hAnsi="仿宋_GB2312" w:cs="仿宋_GB2312"/>
          <w:sz w:val="32"/>
          <w:szCs w:val="32"/>
        </w:rPr>
        <w:t>全面贯彻落实党的二十大精神</w:t>
      </w:r>
      <w:r>
        <w:rPr>
          <w:rFonts w:ascii="仿宋_GB2312" w:eastAsia="仿宋_GB2312" w:hAnsi="仿宋_GB2312" w:cs="仿宋_GB2312" w:hint="eastAsia"/>
          <w:sz w:val="32"/>
          <w:szCs w:val="32"/>
        </w:rPr>
        <w:t>的</w:t>
      </w:r>
      <w:r>
        <w:rPr>
          <w:rFonts w:ascii="仿宋_GB2312" w:eastAsia="仿宋_GB2312" w:hAnsi="仿宋_GB2312" w:cs="仿宋_GB2312"/>
          <w:sz w:val="32"/>
          <w:szCs w:val="32"/>
        </w:rPr>
        <w:t>开局之年</w:t>
      </w:r>
      <w:r>
        <w:rPr>
          <w:rFonts w:ascii="仿宋_GB2312" w:eastAsia="仿宋_GB2312" w:hAnsi="仿宋" w:cs="仿宋_GB2312" w:hint="eastAsia"/>
          <w:sz w:val="32"/>
          <w:szCs w:val="32"/>
        </w:rPr>
        <w:t>，</w:t>
      </w:r>
      <w:r>
        <w:rPr>
          <w:rFonts w:ascii="仿宋_GB2312" w:eastAsia="仿宋_GB2312" w:hAnsi="仿宋_GB2312" w:cs="仿宋_GB2312"/>
          <w:sz w:val="32"/>
          <w:szCs w:val="32"/>
        </w:rPr>
        <w:t>也是三年</w:t>
      </w:r>
      <w:bookmarkStart w:id="0" w:name="_Hlk166146721"/>
      <w:r>
        <w:rPr>
          <w:rFonts w:ascii="仿宋_GB2312" w:eastAsia="仿宋_GB2312" w:hAnsi="仿宋_GB2312" w:cs="仿宋_GB2312"/>
          <w:sz w:val="32"/>
          <w:szCs w:val="32"/>
        </w:rPr>
        <w:t>新冠疫情防控转段后经济恢复发展</w:t>
      </w:r>
      <w:bookmarkEnd w:id="0"/>
      <w:r>
        <w:rPr>
          <w:rFonts w:ascii="仿宋_GB2312" w:eastAsia="仿宋_GB2312" w:hAnsi="仿宋_GB2312" w:cs="仿宋_GB2312"/>
          <w:sz w:val="32"/>
          <w:szCs w:val="32"/>
        </w:rPr>
        <w:t>的一年。</w:t>
      </w:r>
      <w:r>
        <w:rPr>
          <w:rFonts w:ascii="仿宋_GB2312" w:eastAsia="仿宋_GB2312" w:hAnsi="楷体" w:cs="仿宋" w:hint="eastAsia"/>
          <w:sz w:val="32"/>
          <w:szCs w:val="32"/>
        </w:rPr>
        <w:t>坚持以习近平新时代中国特色社会主义思想为指导，</w:t>
      </w:r>
      <w:r>
        <w:rPr>
          <w:rFonts w:ascii="仿宋_GB2312" w:eastAsia="仿宋_GB2312" w:hAnsi="仿宋_GB2312" w:cs="仿宋_GB2312" w:hint="eastAsia"/>
          <w:sz w:val="32"/>
          <w:szCs w:val="32"/>
        </w:rPr>
        <w:t>在市委市政府坚强领导下，在市园林绿化局归口管理下，围绕“从</w:t>
      </w:r>
      <w:r>
        <w:rPr>
          <w:rFonts w:ascii="仿宋_GB2312" w:eastAsia="仿宋_GB2312" w:hAnsi="仿宋_GB2312" w:cs="仿宋_GB2312" w:hint="eastAsia"/>
          <w:sz w:val="32"/>
          <w:szCs w:val="32"/>
        </w:rPr>
        <w:lastRenderedPageBreak/>
        <w:t>严治党、文化传承、提升实力、生态文明、科技创新、优化服务、安全维稳”的工作思路，大力发展“精品公园”推进</w:t>
      </w:r>
      <w:r>
        <w:rPr>
          <w:rFonts w:ascii="仿宋_GB2312" w:eastAsia="仿宋_GB2312" w:hAnsi="仿宋_GB2312" w:cs="仿宋_GB2312"/>
          <w:sz w:val="32"/>
          <w:szCs w:val="32"/>
        </w:rPr>
        <w:t>“四优一满意”</w:t>
      </w:r>
      <w:r>
        <w:rPr>
          <w:rFonts w:ascii="仿宋_GB2312" w:eastAsia="仿宋_GB2312" w:hAnsi="仿宋_GB2312" w:cs="仿宋_GB2312" w:hint="eastAsia"/>
          <w:sz w:val="32"/>
          <w:szCs w:val="32"/>
        </w:rPr>
        <w:t>，</w:t>
      </w:r>
      <w:r>
        <w:rPr>
          <w:rFonts w:ascii="仿宋_GB2312" w:eastAsia="仿宋_GB2312" w:hAnsi="楷体" w:cs="仿宋" w:hint="eastAsia"/>
          <w:sz w:val="32"/>
          <w:szCs w:val="32"/>
        </w:rPr>
        <w:t>圆满完成年初既定目标。</w:t>
      </w:r>
      <w:r>
        <w:rPr>
          <w:rFonts w:ascii="仿宋_GB2312" w:eastAsia="仿宋_GB2312" w:hint="eastAsia"/>
          <w:sz w:val="32"/>
          <w:szCs w:val="32"/>
        </w:rPr>
        <w:t>全年共接待游客量1.01亿人次，比2019年增长3.78%。全年收入13.65亿元，比2019年增长23.37%。承担外事及港澳台政务接待</w:t>
      </w:r>
      <w:r>
        <w:rPr>
          <w:rFonts w:ascii="仿宋_GB2312" w:eastAsia="仿宋_GB2312"/>
          <w:sz w:val="32"/>
          <w:szCs w:val="32"/>
        </w:rPr>
        <w:t>150批次</w:t>
      </w:r>
      <w:r>
        <w:rPr>
          <w:rFonts w:ascii="仿宋_GB2312" w:eastAsia="仿宋_GB2312" w:hint="eastAsia"/>
          <w:sz w:val="32"/>
          <w:szCs w:val="32"/>
        </w:rPr>
        <w:t>，接待中央单位、驻京部队等574批次，</w:t>
      </w:r>
      <w:r>
        <w:rPr>
          <w:rFonts w:ascii="仿宋_GB2312" w:eastAsia="仿宋_GB2312" w:hAnsi="仿宋_GB2312" w:cs="仿宋_GB2312" w:hint="eastAsia"/>
          <w:sz w:val="32"/>
          <w:szCs w:val="32"/>
        </w:rPr>
        <w:t>高质量完成“一带一路”集中参访接待、联合国教科文组织总干事参访等</w:t>
      </w:r>
      <w:r>
        <w:rPr>
          <w:rFonts w:ascii="仿宋_GB2312" w:eastAsia="仿宋_GB2312" w:hAnsi="仿宋_GB2312" w:cs="仿宋_GB2312"/>
          <w:sz w:val="32"/>
          <w:szCs w:val="32"/>
        </w:rPr>
        <w:t>政务活动</w:t>
      </w:r>
      <w:r>
        <w:rPr>
          <w:rFonts w:ascii="仿宋_GB2312" w:eastAsia="仿宋_GB2312" w:hAnsi="仿宋_GB2312" w:cs="仿宋_GB2312" w:hint="eastAsia"/>
          <w:sz w:val="32"/>
          <w:szCs w:val="32"/>
        </w:rPr>
        <w:t>服务保障</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得</w:t>
      </w:r>
      <w:r>
        <w:rPr>
          <w:rFonts w:ascii="仿宋_GB2312" w:eastAsia="仿宋_GB2312" w:hAnsi="仿宋_GB2312" w:cs="仿宋_GB2312"/>
          <w:sz w:val="32"/>
          <w:szCs w:val="32"/>
        </w:rPr>
        <w:t>到市委</w:t>
      </w:r>
      <w:r>
        <w:rPr>
          <w:rFonts w:ascii="仿宋_GB2312" w:eastAsia="仿宋_GB2312" w:hAnsi="仿宋_GB2312" w:cs="仿宋_GB2312" w:hint="eastAsia"/>
          <w:sz w:val="32"/>
          <w:szCs w:val="32"/>
        </w:rPr>
        <w:t>市政府</w:t>
      </w:r>
      <w:r>
        <w:rPr>
          <w:rFonts w:ascii="仿宋_GB2312" w:eastAsia="仿宋_GB2312" w:hAnsi="仿宋_GB2312" w:cs="仿宋_GB2312"/>
          <w:sz w:val="32"/>
          <w:szCs w:val="32"/>
        </w:rPr>
        <w:t>高度</w:t>
      </w:r>
      <w:r>
        <w:rPr>
          <w:rFonts w:ascii="仿宋_GB2312" w:eastAsia="仿宋_GB2312" w:hAnsi="仿宋_GB2312" w:cs="仿宋_GB2312" w:hint="eastAsia"/>
          <w:sz w:val="32"/>
          <w:szCs w:val="32"/>
        </w:rPr>
        <w:t>肯定，在推动首都高质量发展中贡献了积极力量。</w:t>
      </w:r>
    </w:p>
    <w:p w:rsidR="00C40C26" w:rsidRDefault="00FC18C4">
      <w:pPr>
        <w:spacing w:line="360" w:lineRule="auto"/>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1</w:t>
      </w:r>
      <w:r>
        <w:rPr>
          <w:rFonts w:ascii="仿宋_GB2312" w:eastAsia="仿宋_GB2312" w:hAnsi="仿宋" w:cs="仿宋_GB2312"/>
          <w:sz w:val="32"/>
          <w:szCs w:val="32"/>
        </w:rPr>
        <w:t>.</w:t>
      </w:r>
      <w:r>
        <w:rPr>
          <w:rFonts w:hint="eastAsia"/>
        </w:rPr>
        <w:t xml:space="preserve"> </w:t>
      </w:r>
      <w:r>
        <w:rPr>
          <w:rFonts w:ascii="仿宋_GB2312" w:eastAsia="仿宋_GB2312" w:hAnsi="仿宋" w:cs="仿宋_GB2312" w:hint="eastAsia"/>
          <w:sz w:val="32"/>
          <w:szCs w:val="32"/>
        </w:rPr>
        <w:t>坚定不移落实全面从严治党方面</w:t>
      </w:r>
    </w:p>
    <w:p w:rsidR="00C40C26" w:rsidRDefault="00FC18C4">
      <w:pPr>
        <w:spacing w:line="360" w:lineRule="auto"/>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1）深入学习宣传贯彻党的二十大精神和习近平总书记系列重要讲话，落实市党代会精神，以党委（党组）中心组学习为主要抓手，完善中心党委意识形态工作责任制，做好各级党组织理论中心组学习教育、组织管理和动态考核。</w:t>
      </w:r>
    </w:p>
    <w:p w:rsidR="00C40C26" w:rsidRDefault="00FC18C4">
      <w:pPr>
        <w:spacing w:line="360" w:lineRule="auto"/>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（2）加强基层党组织规范化建设，强化党建品牌建设，推动基层党建全面进步、全面过硬，充分发挥基层党组织的战斗堡垒作用和党员先锋模范作用。高标准抓好上级巡视问题整改落实。</w:t>
      </w:r>
    </w:p>
    <w:p w:rsidR="00C40C26" w:rsidRDefault="00FC18C4">
      <w:pPr>
        <w:spacing w:line="360" w:lineRule="auto"/>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2.</w:t>
      </w:r>
      <w:r>
        <w:rPr>
          <w:rFonts w:hint="eastAsia"/>
        </w:rPr>
        <w:t xml:space="preserve"> </w:t>
      </w:r>
      <w:r>
        <w:rPr>
          <w:rFonts w:ascii="仿宋_GB2312" w:eastAsia="仿宋_GB2312" w:hAnsi="仿宋" w:cs="仿宋_GB2312" w:hint="eastAsia"/>
          <w:sz w:val="32"/>
          <w:szCs w:val="32"/>
        </w:rPr>
        <w:t>强化文物保护与传承方面</w:t>
      </w:r>
    </w:p>
    <w:p w:rsidR="00C40C26" w:rsidRDefault="00FC18C4">
      <w:pPr>
        <w:spacing w:line="360" w:lineRule="auto"/>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（1）修订总体规划和文物保护规划，完善专项规划体系。推动市属公园“两规”报审，依规落实保护传承工作。</w:t>
      </w:r>
      <w:r>
        <w:rPr>
          <w:rFonts w:ascii="仿宋_GB2312" w:eastAsia="仿宋_GB2312" w:hAnsi="仿宋" w:cs="仿宋_GB2312" w:hint="eastAsia"/>
          <w:sz w:val="32"/>
          <w:szCs w:val="32"/>
        </w:rPr>
        <w:lastRenderedPageBreak/>
        <w:t>助力北京市疏整促以及全国文化中心建设，有序推进中轴线申遗三年行动计划、老城保护、西山永定河文化带等有关项目的实施，提升完善区域景观环境。</w:t>
      </w:r>
    </w:p>
    <w:p w:rsidR="00C40C26" w:rsidRDefault="00FC18C4">
      <w:pPr>
        <w:spacing w:line="360" w:lineRule="auto"/>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（2）依托文物文化资源，带动“三山五园”地区文物保护与展示提升。</w:t>
      </w:r>
    </w:p>
    <w:p w:rsidR="00C40C26" w:rsidRDefault="00FC18C4">
      <w:pPr>
        <w:spacing w:line="360" w:lineRule="auto"/>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（3）加强可移动文物和露陈文物预防性保护和数字化保护管理，继续完善可移动文物分类建账，推进馆藏文物档案管理数字化，逐步实现可移动文物资源的动态化管理。</w:t>
      </w:r>
    </w:p>
    <w:p w:rsidR="00C40C26" w:rsidRDefault="00FC18C4">
      <w:pPr>
        <w:spacing w:line="360" w:lineRule="auto"/>
        <w:ind w:firstLineChars="200" w:firstLine="640"/>
        <w:rPr>
          <w:rFonts w:ascii="仿宋_GB2312" w:eastAsia="仿宋_GB2312" w:hAnsi="仿宋" w:cs="仿宋_GB2312"/>
          <w:sz w:val="32"/>
          <w:szCs w:val="32"/>
        </w:rPr>
      </w:pPr>
      <w:r>
        <w:rPr>
          <w:rFonts w:ascii="仿宋_GB2312" w:eastAsia="仿宋_GB2312" w:hAnsi="仿宋" w:cs="仿宋_GB2312"/>
          <w:sz w:val="32"/>
          <w:szCs w:val="32"/>
        </w:rPr>
        <w:t>3</w:t>
      </w:r>
      <w:r>
        <w:rPr>
          <w:rFonts w:ascii="仿宋_GB2312" w:eastAsia="仿宋_GB2312" w:hAnsi="仿宋" w:cs="仿宋_GB2312" w:hint="eastAsia"/>
          <w:sz w:val="32"/>
          <w:szCs w:val="32"/>
        </w:rPr>
        <w:t>.</w:t>
      </w:r>
      <w:r>
        <w:rPr>
          <w:rFonts w:hint="eastAsia"/>
        </w:rPr>
        <w:t xml:space="preserve"> </w:t>
      </w:r>
      <w:r>
        <w:rPr>
          <w:rFonts w:ascii="仿宋_GB2312" w:eastAsia="仿宋_GB2312" w:hAnsi="仿宋" w:cs="仿宋_GB2312" w:hint="eastAsia"/>
          <w:sz w:val="32"/>
          <w:szCs w:val="32"/>
        </w:rPr>
        <w:t>提升公园文化软实力方面</w:t>
      </w:r>
    </w:p>
    <w:p w:rsidR="00C40C26" w:rsidRDefault="00FC18C4">
      <w:pPr>
        <w:pStyle w:val="a0"/>
        <w:ind w:firstLine="640"/>
        <w:rPr>
          <w:rFonts w:ascii="仿宋_GB2312" w:eastAsia="仿宋_GB2312"/>
          <w:sz w:val="32"/>
          <w:szCs w:val="32"/>
        </w:rPr>
      </w:pPr>
      <w:r>
        <w:rPr>
          <w:rFonts w:ascii="仿宋_GB2312" w:eastAsia="仿宋_GB2312" w:hint="eastAsia"/>
          <w:sz w:val="32"/>
          <w:szCs w:val="32"/>
        </w:rPr>
        <w:t>（1）坚持“文化建园、文化强园”战略，做好传承发展古都文化、挖掘提升京味文化、传承弘扬红色文化、融合打造特色创新文化。加强与国内外研究机构、博物馆的学术交流，加大探索跨区域合作模式。重视“非物质文化遗产”研究整理，推动“颐和园听鹂馆寿膳制作技艺”国家级非遗申报，强化中和韶乐、曹雪芹传说等非遗传承研究。</w:t>
      </w:r>
    </w:p>
    <w:p w:rsidR="00C40C26" w:rsidRDefault="00FC18C4">
      <w:pPr>
        <w:pStyle w:val="a0"/>
        <w:ind w:firstLine="640"/>
        <w:rPr>
          <w:rFonts w:ascii="仿宋_GB2312" w:eastAsia="仿宋_GB2312"/>
          <w:sz w:val="32"/>
          <w:szCs w:val="32"/>
        </w:rPr>
      </w:pPr>
      <w:r>
        <w:rPr>
          <w:rFonts w:ascii="仿宋_GB2312" w:eastAsia="仿宋_GB2312" w:hint="eastAsia"/>
          <w:sz w:val="32"/>
          <w:szCs w:val="32"/>
        </w:rPr>
        <w:t>（2）持续深入挖掘红色文化资源，铸强市属公园红色文化品牌。</w:t>
      </w:r>
    </w:p>
    <w:p w:rsidR="00C40C26" w:rsidRDefault="00FC18C4">
      <w:pPr>
        <w:pStyle w:val="a0"/>
        <w:ind w:firstLine="640"/>
        <w:rPr>
          <w:rFonts w:ascii="仿宋_GB2312" w:eastAsia="仿宋_GB2312"/>
          <w:sz w:val="32"/>
          <w:szCs w:val="32"/>
        </w:rPr>
      </w:pPr>
      <w:r>
        <w:rPr>
          <w:rFonts w:ascii="仿宋_GB2312" w:eastAsia="仿宋_GB2312" w:hint="eastAsia"/>
          <w:sz w:val="32"/>
          <w:szCs w:val="32"/>
        </w:rPr>
        <w:t>（3）提升文物活化利用水平，持续推进“园说”系列展览，推进冰雪文化进公园。贯彻“2+N”文创思路和“大文创”理念，不断提升文创产品、创意空间、创意活动品质，优化园区商业业态，持续推动公园文创快速发展。</w:t>
      </w:r>
    </w:p>
    <w:p w:rsidR="00C40C26" w:rsidRDefault="00FC18C4">
      <w:pPr>
        <w:spacing w:line="360" w:lineRule="auto"/>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lastRenderedPageBreak/>
        <w:t>4</w:t>
      </w:r>
      <w:r>
        <w:rPr>
          <w:rFonts w:ascii="仿宋_GB2312" w:eastAsia="仿宋_GB2312" w:hAnsi="仿宋" w:cs="仿宋_GB2312"/>
          <w:sz w:val="32"/>
          <w:szCs w:val="32"/>
        </w:rPr>
        <w:t>.</w:t>
      </w:r>
      <w:r>
        <w:rPr>
          <w:rFonts w:ascii="仿宋_GB2312" w:eastAsia="仿宋_GB2312" w:hAnsi="仿宋" w:cs="仿宋_GB2312" w:hint="eastAsia"/>
          <w:sz w:val="32"/>
          <w:szCs w:val="32"/>
        </w:rPr>
        <w:t>加强生态文明建设 方面</w:t>
      </w:r>
    </w:p>
    <w:p w:rsidR="00C40C26" w:rsidRDefault="00FC18C4">
      <w:pPr>
        <w:pStyle w:val="a0"/>
        <w:ind w:firstLine="640"/>
      </w:pPr>
      <w:r>
        <w:rPr>
          <w:rFonts w:ascii="仿宋_GB2312" w:eastAsia="仿宋_GB2312" w:hAnsi="仿宋" w:cs="仿宋_GB2312" w:hint="eastAsia"/>
          <w:sz w:val="32"/>
          <w:szCs w:val="32"/>
        </w:rPr>
        <w:t>（1）持续做好水体景观环境提升、湿地公园建设、公园景观提升，整体优化生态空间格局，保护、传承、延续园林景观意境，完善生态基础设施。挂牌成立国家植物园，打造“一山、三湖、五馆、八区、二十六园”布局，启动五洲温室群、迁地保护研究中心、树木园等建设项目。</w:t>
      </w:r>
    </w:p>
    <w:p w:rsidR="00C40C26" w:rsidRDefault="00FC18C4">
      <w:pPr>
        <w:spacing w:line="360" w:lineRule="auto"/>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w:t>
      </w:r>
      <w:r>
        <w:rPr>
          <w:rFonts w:ascii="仿宋_GB2312" w:eastAsia="仿宋_GB2312" w:hAnsi="仿宋" w:cs="仿宋_GB2312"/>
          <w:sz w:val="32"/>
          <w:szCs w:val="32"/>
        </w:rPr>
        <w:t>2</w:t>
      </w:r>
      <w:r>
        <w:rPr>
          <w:rFonts w:ascii="仿宋_GB2312" w:eastAsia="仿宋_GB2312" w:hAnsi="仿宋" w:cs="仿宋_GB2312" w:hint="eastAsia"/>
          <w:sz w:val="32"/>
          <w:szCs w:val="32"/>
        </w:rPr>
        <w:t>）推动公园景观环境建设精品化，高标准做好重大活动、节假日、纪念日花卉环境布置。</w:t>
      </w:r>
    </w:p>
    <w:p w:rsidR="00C40C26" w:rsidRDefault="00FC18C4">
      <w:pPr>
        <w:spacing w:line="360" w:lineRule="auto"/>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3）优化提升门区及周边环境，推进地区环境综合整治提升工程。倡导绿色环保理念，持续实施“增彩延绿”“杨柳飞絮防治”，推动资源节约型、环境友好型园林建设，提升市属公园可持续发展、生态文明建设水平。</w:t>
      </w:r>
    </w:p>
    <w:p w:rsidR="00C40C26" w:rsidRDefault="00FC18C4">
      <w:pPr>
        <w:spacing w:line="360" w:lineRule="auto"/>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5</w:t>
      </w:r>
      <w:r>
        <w:rPr>
          <w:rFonts w:ascii="仿宋_GB2312" w:eastAsia="仿宋_GB2312" w:hAnsi="仿宋" w:cs="仿宋_GB2312"/>
          <w:sz w:val="32"/>
          <w:szCs w:val="32"/>
        </w:rPr>
        <w:t>.</w:t>
      </w:r>
      <w:r>
        <w:rPr>
          <w:rFonts w:ascii="仿宋_GB2312" w:eastAsia="仿宋_GB2312" w:hAnsi="仿宋" w:cs="仿宋_GB2312" w:hint="eastAsia"/>
          <w:sz w:val="32"/>
          <w:szCs w:val="32"/>
        </w:rPr>
        <w:t>积极加快科技创新步伐方面</w:t>
      </w:r>
    </w:p>
    <w:p w:rsidR="00C40C26" w:rsidRDefault="00FC18C4">
      <w:pPr>
        <w:spacing w:line="360" w:lineRule="auto"/>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w:t>
      </w:r>
      <w:r>
        <w:rPr>
          <w:rFonts w:ascii="仿宋_GB2312" w:eastAsia="仿宋_GB2312" w:hAnsi="仿宋" w:cs="仿宋_GB2312"/>
          <w:sz w:val="32"/>
          <w:szCs w:val="32"/>
        </w:rPr>
        <w:t>1</w:t>
      </w:r>
      <w:r>
        <w:rPr>
          <w:rFonts w:ascii="仿宋_GB2312" w:eastAsia="仿宋_GB2312" w:hAnsi="仿宋" w:cs="仿宋_GB2312" w:hint="eastAsia"/>
          <w:sz w:val="32"/>
          <w:szCs w:val="32"/>
        </w:rPr>
        <w:t>）发挥中心系统资源和人才优势，加强植物园、动物园重点实验室等科研平台建设。</w:t>
      </w:r>
    </w:p>
    <w:p w:rsidR="00C40C26" w:rsidRDefault="00FC18C4">
      <w:pPr>
        <w:spacing w:line="360" w:lineRule="auto"/>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w:t>
      </w:r>
      <w:r>
        <w:rPr>
          <w:rFonts w:ascii="仿宋_GB2312" w:eastAsia="仿宋_GB2312" w:hAnsi="仿宋" w:cs="仿宋_GB2312"/>
          <w:sz w:val="32"/>
          <w:szCs w:val="32"/>
        </w:rPr>
        <w:t>2</w:t>
      </w:r>
      <w:r>
        <w:rPr>
          <w:rFonts w:ascii="仿宋_GB2312" w:eastAsia="仿宋_GB2312" w:hAnsi="仿宋" w:cs="仿宋_GB2312" w:hint="eastAsia"/>
          <w:sz w:val="32"/>
          <w:szCs w:val="32"/>
        </w:rPr>
        <w:t>）针对行业发展热点难点，开展一批应用型课题，疏通发展瓶颈。重视国家专利、植物新品种权的申报及行业标准的起草等工作，加速推进优秀科研成果转化落地。</w:t>
      </w:r>
    </w:p>
    <w:p w:rsidR="00C40C26" w:rsidRDefault="00FC18C4">
      <w:pPr>
        <w:spacing w:line="360" w:lineRule="auto"/>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3）持续强化科普品牌建设，提高“科普游园会”“科普夏令营”品牌活动策划能力，创新工作模式。加强科普“一园一品”建设，完善科普场馆、植物科普牌示建设，加强信息化基础建设和网络安全管理水平，提高大数</w:t>
      </w:r>
      <w:r>
        <w:rPr>
          <w:rFonts w:ascii="仿宋_GB2312" w:eastAsia="仿宋_GB2312" w:hAnsi="仿宋" w:cs="仿宋_GB2312" w:hint="eastAsia"/>
          <w:sz w:val="32"/>
          <w:szCs w:val="32"/>
        </w:rPr>
        <w:lastRenderedPageBreak/>
        <w:t>据管理水平。</w:t>
      </w:r>
    </w:p>
    <w:p w:rsidR="00C40C26" w:rsidRDefault="00FC18C4">
      <w:pPr>
        <w:pStyle w:val="a0"/>
        <w:ind w:firstLine="640"/>
        <w:rPr>
          <w:rFonts w:ascii="仿宋_GB2312" w:eastAsia="仿宋_GB2312" w:hAnsi="仿宋" w:cs="仿宋_GB2312"/>
          <w:sz w:val="32"/>
          <w:szCs w:val="32"/>
        </w:rPr>
      </w:pPr>
      <w:r>
        <w:rPr>
          <w:rFonts w:ascii="仿宋_GB2312" w:eastAsia="仿宋_GB2312" w:hAnsi="仿宋" w:cs="仿宋_GB2312"/>
          <w:sz w:val="32"/>
          <w:szCs w:val="32"/>
        </w:rPr>
        <w:t xml:space="preserve">6. </w:t>
      </w:r>
      <w:r>
        <w:rPr>
          <w:rFonts w:ascii="仿宋_GB2312" w:eastAsia="仿宋_GB2312" w:hAnsi="仿宋" w:cs="仿宋_GB2312" w:hint="eastAsia"/>
          <w:sz w:val="32"/>
          <w:szCs w:val="32"/>
        </w:rPr>
        <w:t>开创公共服务管理新局面方面</w:t>
      </w:r>
    </w:p>
    <w:p w:rsidR="00C40C26" w:rsidRDefault="00FC18C4">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w:t>
      </w:r>
      <w:r>
        <w:rPr>
          <w:rFonts w:ascii="仿宋_GB2312" w:eastAsia="仿宋_GB2312" w:hAnsi="仿宋" w:cs="仿宋_GB2312"/>
          <w:sz w:val="32"/>
          <w:szCs w:val="32"/>
        </w:rPr>
        <w:t>1</w:t>
      </w:r>
      <w:r>
        <w:rPr>
          <w:rFonts w:ascii="仿宋_GB2312" w:eastAsia="仿宋_GB2312" w:hAnsi="仿宋" w:cs="仿宋_GB2312" w:hint="eastAsia"/>
          <w:sz w:val="32"/>
          <w:szCs w:val="32"/>
        </w:rPr>
        <w:t>）坚持以</w:t>
      </w:r>
      <w:r>
        <w:rPr>
          <w:rFonts w:ascii="仿宋_GB2312" w:eastAsia="仿宋_GB2312" w:hAnsi="仿宋" w:cs="仿宋_GB2312"/>
          <w:sz w:val="32"/>
          <w:szCs w:val="32"/>
        </w:rPr>
        <w:t>“</w:t>
      </w:r>
      <w:r>
        <w:rPr>
          <w:rFonts w:ascii="仿宋_GB2312" w:eastAsia="仿宋_GB2312" w:hAnsi="仿宋" w:cs="仿宋_GB2312" w:hint="eastAsia"/>
          <w:sz w:val="32"/>
          <w:szCs w:val="32"/>
        </w:rPr>
        <w:t>人民为中心</w:t>
      </w:r>
      <w:r>
        <w:rPr>
          <w:rFonts w:ascii="仿宋_GB2312" w:eastAsia="仿宋_GB2312" w:hAnsi="仿宋" w:cs="仿宋_GB2312"/>
          <w:sz w:val="32"/>
          <w:szCs w:val="32"/>
        </w:rPr>
        <w:t>”</w:t>
      </w:r>
      <w:r>
        <w:rPr>
          <w:rFonts w:ascii="仿宋_GB2312" w:eastAsia="仿宋_GB2312" w:hAnsi="仿宋" w:cs="仿宋_GB2312" w:hint="eastAsia"/>
          <w:sz w:val="32"/>
          <w:szCs w:val="32"/>
        </w:rPr>
        <w:t>，围绕</w:t>
      </w:r>
      <w:r>
        <w:rPr>
          <w:rFonts w:ascii="仿宋_GB2312" w:eastAsia="仿宋_GB2312" w:hAnsi="仿宋" w:cs="仿宋_GB2312"/>
          <w:sz w:val="32"/>
          <w:szCs w:val="32"/>
        </w:rPr>
        <w:t>“</w:t>
      </w:r>
      <w:r>
        <w:rPr>
          <w:rFonts w:ascii="仿宋_GB2312" w:eastAsia="仿宋_GB2312" w:hAnsi="仿宋" w:cs="仿宋_GB2312" w:hint="eastAsia"/>
          <w:sz w:val="32"/>
          <w:szCs w:val="32"/>
        </w:rPr>
        <w:t>七有</w:t>
      </w:r>
      <w:r>
        <w:rPr>
          <w:rFonts w:ascii="仿宋_GB2312" w:eastAsia="仿宋_GB2312" w:hAnsi="仿宋" w:cs="仿宋_GB2312"/>
          <w:sz w:val="32"/>
          <w:szCs w:val="32"/>
        </w:rPr>
        <w:t>”“</w:t>
      </w:r>
      <w:r>
        <w:rPr>
          <w:rFonts w:ascii="仿宋_GB2312" w:eastAsia="仿宋_GB2312" w:hAnsi="仿宋" w:cs="仿宋_GB2312" w:hint="eastAsia"/>
          <w:sz w:val="32"/>
          <w:szCs w:val="32"/>
        </w:rPr>
        <w:t>五性</w:t>
      </w:r>
      <w:r>
        <w:rPr>
          <w:rFonts w:ascii="仿宋_GB2312" w:eastAsia="仿宋_GB2312" w:hAnsi="仿宋" w:cs="仿宋_GB2312"/>
          <w:sz w:val="32"/>
          <w:szCs w:val="32"/>
        </w:rPr>
        <w:t>”</w:t>
      </w:r>
      <w:r>
        <w:rPr>
          <w:rFonts w:ascii="仿宋_GB2312" w:eastAsia="仿宋_GB2312" w:hAnsi="仿宋" w:cs="仿宋_GB2312" w:hint="eastAsia"/>
          <w:sz w:val="32"/>
          <w:szCs w:val="32"/>
        </w:rPr>
        <w:t>落实</w:t>
      </w:r>
      <w:r>
        <w:rPr>
          <w:rFonts w:ascii="仿宋_GB2312" w:eastAsia="仿宋_GB2312" w:hAnsi="仿宋" w:cs="仿宋_GB2312"/>
          <w:sz w:val="32"/>
          <w:szCs w:val="32"/>
        </w:rPr>
        <w:t>“</w:t>
      </w:r>
      <w:r>
        <w:rPr>
          <w:rFonts w:ascii="仿宋_GB2312" w:eastAsia="仿宋_GB2312" w:hAnsi="仿宋" w:cs="仿宋_GB2312" w:hint="eastAsia"/>
          <w:sz w:val="32"/>
          <w:szCs w:val="32"/>
        </w:rPr>
        <w:t>接诉即办</w:t>
      </w:r>
      <w:r>
        <w:rPr>
          <w:rFonts w:ascii="仿宋_GB2312" w:eastAsia="仿宋_GB2312" w:hAnsi="仿宋" w:cs="仿宋_GB2312"/>
          <w:sz w:val="32"/>
          <w:szCs w:val="32"/>
        </w:rPr>
        <w:t>”</w:t>
      </w:r>
      <w:r>
        <w:rPr>
          <w:rFonts w:ascii="仿宋_GB2312" w:eastAsia="仿宋_GB2312" w:hAnsi="仿宋" w:cs="仿宋_GB2312" w:hint="eastAsia"/>
          <w:sz w:val="32"/>
          <w:szCs w:val="32"/>
        </w:rPr>
        <w:t>，推进智慧化服务转型，推动公园服务消费向体验化、品质化和数字化方向提档升级。</w:t>
      </w:r>
    </w:p>
    <w:p w:rsidR="00C40C26" w:rsidRDefault="00FC18C4">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2）持续完善国际化旅游设施和服务，完善多语种支持、医疗保障、应急救援等便利化服务功能，抓实颐和园、天坛、中山、紫竹院公园闸机等服务设施改造提升项目，推进植物园、园林博物馆、景山导览标识升级改造。</w:t>
      </w:r>
    </w:p>
    <w:p w:rsidR="00C40C26" w:rsidRDefault="00FC18C4">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3）打造全国精神文明建设示范区，开展“文明一米线”“文明旅游我最美”专项行动。加强接诉即办，解决群众关心的难点、热点、痛点问题。搭建智慧票务综合管理平台，完善线上票务预约服务。发展特色商业，推进“一店一品一特色”，推进商业规划编制。推进公园</w:t>
      </w:r>
      <w:r>
        <w:rPr>
          <w:rFonts w:ascii="仿宋_GB2312" w:eastAsia="仿宋_GB2312" w:hAnsi="仿宋" w:cs="仿宋_GB2312"/>
          <w:sz w:val="32"/>
          <w:szCs w:val="32"/>
        </w:rPr>
        <w:t>5G</w:t>
      </w:r>
      <w:r>
        <w:rPr>
          <w:rFonts w:ascii="仿宋_GB2312" w:eastAsia="仿宋_GB2312" w:hAnsi="仿宋" w:cs="仿宋_GB2312" w:hint="eastAsia"/>
          <w:sz w:val="32"/>
          <w:szCs w:val="32"/>
        </w:rPr>
        <w:t>场景落地，扩大智慧导览、乘船等场景应用。</w:t>
      </w:r>
    </w:p>
    <w:p w:rsidR="00C40C26" w:rsidRDefault="00FC18C4">
      <w:pPr>
        <w:ind w:firstLineChars="200" w:firstLine="640"/>
        <w:rPr>
          <w:rFonts w:ascii="仿宋_GB2312" w:eastAsia="仿宋_GB2312" w:hAnsi="仿宋" w:cs="仿宋_GB2312"/>
          <w:sz w:val="32"/>
          <w:szCs w:val="32"/>
        </w:rPr>
      </w:pPr>
      <w:r>
        <w:rPr>
          <w:rFonts w:ascii="仿宋_GB2312" w:eastAsia="仿宋_GB2312" w:hAnsi="仿宋" w:cs="仿宋_GB2312"/>
          <w:sz w:val="32"/>
          <w:szCs w:val="32"/>
        </w:rPr>
        <w:t>7.</w:t>
      </w:r>
      <w:r>
        <w:rPr>
          <w:rFonts w:ascii="仿宋_GB2312" w:eastAsia="仿宋_GB2312" w:hAnsi="仿宋" w:cs="仿宋_GB2312" w:hint="eastAsia"/>
          <w:sz w:val="32"/>
          <w:szCs w:val="32"/>
        </w:rPr>
        <w:t>营造安全稳定良好氛围方面</w:t>
      </w:r>
    </w:p>
    <w:p w:rsidR="00C40C26" w:rsidRDefault="00FC18C4">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w:t>
      </w:r>
      <w:r>
        <w:rPr>
          <w:rFonts w:ascii="仿宋_GB2312" w:eastAsia="仿宋_GB2312" w:hAnsi="仿宋" w:cs="仿宋_GB2312"/>
          <w:sz w:val="32"/>
          <w:szCs w:val="32"/>
        </w:rPr>
        <w:t>1</w:t>
      </w:r>
      <w:r>
        <w:rPr>
          <w:rFonts w:ascii="仿宋_GB2312" w:eastAsia="仿宋_GB2312" w:hAnsi="仿宋" w:cs="仿宋_GB2312" w:hint="eastAsia"/>
          <w:sz w:val="32"/>
          <w:szCs w:val="32"/>
        </w:rPr>
        <w:t>）推进治理体系和治理能力现代化，强化中心系统应急管理体系建设，细化责任分工和工作流程，提升应急管理水平。细化安全生产责任体系清单，进一步明确职责，建立责任与考核相结合的全员安全生产责任体系。</w:t>
      </w:r>
    </w:p>
    <w:p w:rsidR="00C40C26" w:rsidRDefault="00FC18C4">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（2）不断加大不文明行为治理力度，有效发挥</w:t>
      </w:r>
      <w:r>
        <w:rPr>
          <w:rFonts w:ascii="仿宋_GB2312" w:eastAsia="仿宋_GB2312" w:hAnsi="仿宋" w:cs="仿宋_GB2312"/>
          <w:sz w:val="32"/>
          <w:szCs w:val="32"/>
        </w:rPr>
        <w:t>“</w:t>
      </w:r>
      <w:r>
        <w:rPr>
          <w:rFonts w:ascii="仿宋_GB2312" w:eastAsia="仿宋_GB2312" w:hAnsi="仿宋" w:cs="仿宋_GB2312" w:hint="eastAsia"/>
          <w:sz w:val="32"/>
          <w:szCs w:val="32"/>
        </w:rPr>
        <w:t>黑名单</w:t>
      </w:r>
      <w:r>
        <w:rPr>
          <w:rFonts w:ascii="仿宋_GB2312" w:eastAsia="仿宋_GB2312" w:hAnsi="仿宋" w:cs="仿宋_GB2312"/>
          <w:sz w:val="32"/>
          <w:szCs w:val="32"/>
        </w:rPr>
        <w:t>”</w:t>
      </w:r>
      <w:r>
        <w:rPr>
          <w:rFonts w:ascii="仿宋_GB2312" w:eastAsia="仿宋_GB2312" w:hAnsi="仿宋" w:cs="仿宋_GB2312" w:hint="eastAsia"/>
          <w:sz w:val="32"/>
          <w:szCs w:val="32"/>
        </w:rPr>
        <w:t>制度惩戒威力。推进安全管理人才队伍专业化建设，</w:t>
      </w:r>
      <w:r>
        <w:rPr>
          <w:rFonts w:ascii="仿宋_GB2312" w:eastAsia="仿宋_GB2312" w:hAnsi="仿宋" w:cs="仿宋_GB2312" w:hint="eastAsia"/>
          <w:sz w:val="32"/>
          <w:szCs w:val="32"/>
        </w:rPr>
        <w:lastRenderedPageBreak/>
        <w:t>确保随时落实应急处突任务。</w:t>
      </w:r>
    </w:p>
    <w:p w:rsidR="00C40C26" w:rsidRDefault="00FC18C4">
      <w:pPr>
        <w:ind w:firstLineChars="200" w:firstLine="640"/>
      </w:pPr>
      <w:r>
        <w:rPr>
          <w:rFonts w:ascii="仿宋_GB2312" w:eastAsia="仿宋_GB2312" w:hAnsi="仿宋" w:cs="仿宋_GB2312" w:hint="eastAsia"/>
          <w:sz w:val="32"/>
          <w:szCs w:val="32"/>
        </w:rPr>
        <w:t>（3）加强消防规划编制和风险评估，推进消防能力建设。统筹推进智慧安防建设，力争实现视频监控、预警报警、消防联动、周界防范、游客管理、指挥调度于一体的高效协作智慧安防功能。</w:t>
      </w:r>
    </w:p>
    <w:p w:rsidR="00C40C26" w:rsidRDefault="00FC18C4">
      <w:pPr>
        <w:spacing w:line="360" w:lineRule="auto"/>
        <w:ind w:leftChars="50" w:left="105" w:firstLineChars="150" w:firstLine="480"/>
        <w:rPr>
          <w:rFonts w:ascii="楷体_GB2312" w:eastAsia="楷体_GB2312"/>
          <w:sz w:val="32"/>
          <w:szCs w:val="32"/>
        </w:rPr>
      </w:pPr>
      <w:r>
        <w:rPr>
          <w:rFonts w:ascii="楷体_GB2312" w:eastAsia="楷体_GB2312" w:hint="eastAsia"/>
          <w:sz w:val="32"/>
          <w:szCs w:val="32"/>
        </w:rPr>
        <w:t>（二）效果</w:t>
      </w:r>
      <w:r>
        <w:rPr>
          <w:rFonts w:ascii="楷体_GB2312" w:eastAsia="楷体_GB2312"/>
          <w:sz w:val="32"/>
          <w:szCs w:val="32"/>
        </w:rPr>
        <w:t>实现情况分析</w:t>
      </w:r>
    </w:p>
    <w:p w:rsidR="00C40C26" w:rsidRDefault="00FC18C4">
      <w:pPr>
        <w:spacing w:line="360" w:lineRule="auto"/>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1.经济</w:t>
      </w:r>
      <w:r>
        <w:rPr>
          <w:rFonts w:ascii="仿宋_GB2312" w:eastAsia="仿宋_GB2312" w:hAnsi="仿宋" w:cs="仿宋_GB2312"/>
          <w:sz w:val="32"/>
          <w:szCs w:val="32"/>
        </w:rPr>
        <w:t>效益</w:t>
      </w:r>
    </w:p>
    <w:p w:rsidR="00C40C26" w:rsidRDefault="00FC18C4">
      <w:pPr>
        <w:spacing w:line="360" w:lineRule="auto"/>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中心通过对颐和园养云轩院、颐和园景福阁、长廊彩画文物等项目的保护性修缮，恢复世界文化遗产地的完整性，增加文物、古建筑保护利用性，加强对丰富文化旅游的同时也可大力促进人民群众了解世界遗产、热爱世界遗产，自觉参与世界遗产的保护。扩大对外开放区域、提高配套服务水平和接纳广大游客的服务能力，使得旅游经济形成可持续增长；同时不断完善修复方案和工艺水平，使得在一定程度上降低日常维护的成本。全年事业收入</w:t>
      </w:r>
      <w:r>
        <w:rPr>
          <w:rFonts w:ascii="仿宋_GB2312" w:eastAsia="仿宋_GB2312" w:hAnsi="仿宋" w:cs="仿宋_GB2312"/>
          <w:sz w:val="32"/>
          <w:szCs w:val="32"/>
        </w:rPr>
        <w:t>85</w:t>
      </w:r>
      <w:r>
        <w:rPr>
          <w:rFonts w:ascii="仿宋_GB2312" w:eastAsia="仿宋_GB2312" w:hAnsi="仿宋" w:cs="仿宋_GB2312" w:hint="eastAsia"/>
          <w:sz w:val="32"/>
          <w:szCs w:val="32"/>
        </w:rPr>
        <w:t>,</w:t>
      </w:r>
      <w:r>
        <w:rPr>
          <w:rFonts w:ascii="仿宋_GB2312" w:eastAsia="仿宋_GB2312" w:hAnsi="仿宋" w:cs="仿宋_GB2312"/>
          <w:sz w:val="32"/>
          <w:szCs w:val="32"/>
        </w:rPr>
        <w:t>717</w:t>
      </w:r>
      <w:r>
        <w:rPr>
          <w:rFonts w:ascii="仿宋_GB2312" w:eastAsia="仿宋_GB2312" w:hAnsi="仿宋" w:cs="仿宋_GB2312" w:hint="eastAsia"/>
          <w:sz w:val="32"/>
          <w:szCs w:val="32"/>
        </w:rPr>
        <w:t>.</w:t>
      </w:r>
      <w:r>
        <w:rPr>
          <w:rFonts w:ascii="仿宋_GB2312" w:eastAsia="仿宋_GB2312" w:hAnsi="仿宋" w:cs="仿宋_GB2312"/>
          <w:sz w:val="32"/>
          <w:szCs w:val="32"/>
        </w:rPr>
        <w:t>9</w:t>
      </w:r>
      <w:r>
        <w:rPr>
          <w:rFonts w:ascii="仿宋_GB2312" w:eastAsia="仿宋_GB2312" w:hAnsi="仿宋" w:cs="仿宋_GB2312" w:hint="eastAsia"/>
          <w:sz w:val="32"/>
          <w:szCs w:val="32"/>
        </w:rPr>
        <w:t>3万元，较</w:t>
      </w:r>
      <w:r>
        <w:rPr>
          <w:rFonts w:ascii="仿宋_GB2312" w:eastAsia="仿宋_GB2312" w:hAnsi="仿宋" w:cs="仿宋_GB2312"/>
          <w:sz w:val="32"/>
          <w:szCs w:val="32"/>
        </w:rPr>
        <w:t>202</w:t>
      </w:r>
      <w:r>
        <w:rPr>
          <w:rFonts w:ascii="仿宋_GB2312" w:eastAsia="仿宋_GB2312" w:hAnsi="仿宋" w:cs="仿宋_GB2312" w:hint="eastAsia"/>
          <w:sz w:val="32"/>
          <w:szCs w:val="32"/>
        </w:rPr>
        <w:t>2年（</w:t>
      </w:r>
      <w:r>
        <w:rPr>
          <w:rFonts w:ascii="仿宋_GB2312" w:eastAsia="仿宋_GB2312" w:hAnsi="仿宋" w:cs="仿宋_GB2312"/>
          <w:sz w:val="32"/>
          <w:szCs w:val="32"/>
        </w:rPr>
        <w:t>44,070.71</w:t>
      </w:r>
      <w:r>
        <w:rPr>
          <w:rFonts w:ascii="仿宋_GB2312" w:eastAsia="仿宋_GB2312" w:hAnsi="仿宋" w:cs="仿宋_GB2312" w:hint="eastAsia"/>
          <w:sz w:val="32"/>
          <w:szCs w:val="32"/>
        </w:rPr>
        <w:t>万元）增长94.50</w:t>
      </w:r>
      <w:r>
        <w:rPr>
          <w:rFonts w:ascii="仿宋_GB2312" w:eastAsia="仿宋_GB2312" w:hAnsi="仿宋" w:cs="仿宋_GB2312"/>
          <w:sz w:val="32"/>
          <w:szCs w:val="32"/>
        </w:rPr>
        <w:t>%</w:t>
      </w:r>
      <w:r>
        <w:rPr>
          <w:rFonts w:ascii="仿宋_GB2312" w:eastAsia="仿宋_GB2312" w:hAnsi="仿宋" w:cs="仿宋_GB2312" w:hint="eastAsia"/>
          <w:sz w:val="32"/>
          <w:szCs w:val="32"/>
        </w:rPr>
        <w:t>。</w:t>
      </w:r>
    </w:p>
    <w:p w:rsidR="00C40C26" w:rsidRDefault="00FC18C4">
      <w:pPr>
        <w:spacing w:line="360" w:lineRule="auto"/>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2.社会效益</w:t>
      </w:r>
    </w:p>
    <w:p w:rsidR="00C40C26" w:rsidRDefault="00FC18C4">
      <w:pPr>
        <w:spacing w:line="360" w:lineRule="auto"/>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（1）通过因公出国（境）团组对外交流的顺利进行，促进中心在园林文化、文物古建、动物植物等方面的国际交流交往，开拓视野，借鉴国外先进经验与技术，扩大园林文化的国际影响力。</w:t>
      </w:r>
    </w:p>
    <w:p w:rsidR="00C40C26" w:rsidRDefault="00FC18C4">
      <w:pPr>
        <w:spacing w:line="360" w:lineRule="auto"/>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lastRenderedPageBreak/>
        <w:t>（2）随着红色文化宣传教育活动、各公园及园博馆开展的文明游园活动的展开，大力宣传引导爱国主义教育，向各单位配发相关学习资料，持续关注中心系统舆情监测力度，提升多平台敏感舆情监测水平及应对能力。</w:t>
      </w:r>
    </w:p>
    <w:p w:rsidR="00C40C26" w:rsidRDefault="00FC18C4">
      <w:pPr>
        <w:spacing w:line="360" w:lineRule="auto"/>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3）通过提高校园网信息安全威胁检测能力，保障学校网络安全，为师生提高良好的网络环境。课程建设具有示范引领作用，得到同行认可，具有推广价值；面向社会服务能力提升，学校社会影响力提升；保障教学和专业建设正常运行，为社会培养优秀人才</w:t>
      </w:r>
      <w:r>
        <w:rPr>
          <w:rFonts w:ascii="仿宋_GB2312" w:eastAsia="仿宋_GB2312" w:hAnsi="仿宋" w:cs="仿宋_GB2312"/>
          <w:sz w:val="32"/>
          <w:szCs w:val="32"/>
        </w:rPr>
        <w:t>。</w:t>
      </w:r>
    </w:p>
    <w:p w:rsidR="00C40C26" w:rsidRDefault="00FC18C4">
      <w:pPr>
        <w:spacing w:line="360" w:lineRule="auto"/>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3</w:t>
      </w:r>
      <w:r>
        <w:rPr>
          <w:rFonts w:ascii="仿宋_GB2312" w:eastAsia="仿宋_GB2312" w:hAnsi="仿宋" w:cs="仿宋_GB2312"/>
          <w:sz w:val="32"/>
          <w:szCs w:val="32"/>
        </w:rPr>
        <w:t>.环境效益</w:t>
      </w:r>
    </w:p>
    <w:p w:rsidR="00C40C26" w:rsidRDefault="00E07256">
      <w:pPr>
        <w:spacing w:line="360" w:lineRule="auto"/>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根据《北京市古树名木保护管理条例》的工作需求，</w:t>
      </w:r>
      <w:r w:rsidR="00FC18C4">
        <w:rPr>
          <w:rFonts w:ascii="仿宋_GB2312" w:eastAsia="仿宋_GB2312" w:hAnsi="仿宋" w:cs="仿宋_GB2312" w:hint="eastAsia"/>
          <w:sz w:val="32"/>
          <w:szCs w:val="32"/>
        </w:rPr>
        <w:t>将古树名木保护列入全年绿化工作的重点工作。申报古树保护项目经费</w:t>
      </w:r>
      <w:r>
        <w:rPr>
          <w:rFonts w:ascii="仿宋_GB2312" w:eastAsia="仿宋_GB2312" w:hAnsi="仿宋" w:cs="仿宋_GB2312" w:hint="eastAsia"/>
          <w:sz w:val="32"/>
          <w:szCs w:val="32"/>
        </w:rPr>
        <w:t>1550</w:t>
      </w:r>
      <w:r w:rsidR="00FC18C4">
        <w:rPr>
          <w:rFonts w:ascii="仿宋_GB2312" w:eastAsia="仿宋_GB2312" w:hAnsi="仿宋" w:cs="仿宋_GB2312" w:hint="eastAsia"/>
          <w:sz w:val="32"/>
          <w:szCs w:val="32"/>
        </w:rPr>
        <w:t>万元，用于古树复壮及树体修复、抢救保护濒危衰弱古树、维护及新增古树渗井、整理改善立地环境、增加保护围栏、添设防腐木树堰改造，提升古树生长条件及周边环境，突出古树名木的生态价值、人文价值、生态价值和种质价值。</w:t>
      </w:r>
    </w:p>
    <w:p w:rsidR="00C40C26" w:rsidRDefault="00FC18C4">
      <w:pPr>
        <w:spacing w:line="360" w:lineRule="auto"/>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4.可持续</w:t>
      </w:r>
      <w:r>
        <w:rPr>
          <w:rFonts w:ascii="仿宋_GB2312" w:eastAsia="仿宋_GB2312" w:hAnsi="仿宋" w:cs="仿宋_GB2312"/>
          <w:sz w:val="32"/>
          <w:szCs w:val="32"/>
        </w:rPr>
        <w:t>性影响</w:t>
      </w:r>
    </w:p>
    <w:p w:rsidR="00C40C26" w:rsidRDefault="00FC18C4">
      <w:pPr>
        <w:spacing w:line="360" w:lineRule="auto"/>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为确</w:t>
      </w:r>
      <w:r w:rsidR="00E07256">
        <w:rPr>
          <w:rFonts w:ascii="仿宋_GB2312" w:eastAsia="仿宋_GB2312" w:hAnsi="仿宋" w:cs="仿宋_GB2312" w:hint="eastAsia"/>
          <w:sz w:val="32"/>
          <w:szCs w:val="32"/>
        </w:rPr>
        <w:t>保公园动物饲养、园区绿化、安全保障等专项工作正常有序推进，对</w:t>
      </w:r>
      <w:r>
        <w:rPr>
          <w:rFonts w:ascii="仿宋_GB2312" w:eastAsia="仿宋_GB2312" w:hAnsi="仿宋" w:cs="仿宋_GB2312" w:hint="eastAsia"/>
          <w:sz w:val="32"/>
          <w:szCs w:val="32"/>
        </w:rPr>
        <w:t>各类专项设备进行筛查确认，更新高耗能、高维修成本、低效率的老旧设备以及坏损设备，新增部分专项作业设备。有效提高设备运行的整体效率和安</w:t>
      </w:r>
      <w:r>
        <w:rPr>
          <w:rFonts w:ascii="仿宋_GB2312" w:eastAsia="仿宋_GB2312" w:hAnsi="仿宋" w:cs="仿宋_GB2312" w:hint="eastAsia"/>
          <w:sz w:val="32"/>
          <w:szCs w:val="32"/>
        </w:rPr>
        <w:lastRenderedPageBreak/>
        <w:t>全系数，确保各项工作基本设备需求和工作运转平稳进行。</w:t>
      </w:r>
    </w:p>
    <w:p w:rsidR="00C40C26" w:rsidRDefault="00FC18C4">
      <w:pPr>
        <w:spacing w:line="360" w:lineRule="auto"/>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5.服务对象</w:t>
      </w:r>
      <w:r>
        <w:rPr>
          <w:rFonts w:ascii="仿宋_GB2312" w:eastAsia="仿宋_GB2312" w:hAnsi="仿宋" w:cs="仿宋_GB2312"/>
          <w:sz w:val="32"/>
          <w:szCs w:val="32"/>
        </w:rPr>
        <w:t>满意度</w:t>
      </w:r>
    </w:p>
    <w:p w:rsidR="00C40C26" w:rsidRDefault="00FC18C4">
      <w:pPr>
        <w:spacing w:line="360" w:lineRule="auto"/>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2023年度游客满意度调查全年共回收有效问卷24,380份，总分为</w:t>
      </w:r>
      <w:r>
        <w:rPr>
          <w:rFonts w:ascii="仿宋_GB2312" w:eastAsia="仿宋_GB2312" w:hAnsi="仿宋" w:cs="仿宋_GB2312"/>
          <w:sz w:val="32"/>
          <w:szCs w:val="32"/>
        </w:rPr>
        <w:t>97.01</w:t>
      </w:r>
      <w:r>
        <w:rPr>
          <w:rFonts w:ascii="仿宋_GB2312" w:eastAsia="仿宋_GB2312" w:hAnsi="仿宋" w:cs="仿宋_GB2312" w:hint="eastAsia"/>
          <w:sz w:val="32"/>
          <w:szCs w:val="32"/>
        </w:rPr>
        <w:t>分，达到“非常满意”水平，2023年文旅产业快速复苏，并呈现爆发式增长态势，游客接待量的增长给各单位服务工作带来了新的考验，12 家单位严守公园管理制度和规范，全力保障市民游客游园体验，各项工作均取得较好成绩。</w:t>
      </w:r>
    </w:p>
    <w:p w:rsidR="00C40C26" w:rsidRDefault="00FC18C4">
      <w:pPr>
        <w:pStyle w:val="a0"/>
        <w:ind w:firstLine="640"/>
      </w:pPr>
      <w:r>
        <w:rPr>
          <w:rFonts w:ascii="仿宋_GB2312" w:eastAsia="仿宋_GB2312" w:hAnsi="仿宋" w:cs="仿宋_GB2312" w:hint="eastAsia"/>
          <w:sz w:val="32"/>
          <w:szCs w:val="32"/>
        </w:rPr>
        <w:t>从季度对比情况来看，服务管理、文化与科普和卫生保洁三大指标整体呈上升趋势；园林绿化景观和安全管理两大指标评价较为稳定；商品消费指标在前三季度呈递增趋势，第四季度有所回落。</w:t>
      </w:r>
    </w:p>
    <w:p w:rsidR="00C40C26" w:rsidRDefault="00FC18C4">
      <w:pPr>
        <w:spacing w:line="360" w:lineRule="auto"/>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整体来看，各单位 2023年游客满意度评价均在 96 分以上，达到“非常满意”水平。</w:t>
      </w:r>
    </w:p>
    <w:p w:rsidR="00C40C26" w:rsidRDefault="00FC18C4">
      <w:pPr>
        <w:spacing w:line="360" w:lineRule="auto"/>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四</w:t>
      </w:r>
      <w:r>
        <w:rPr>
          <w:rFonts w:ascii="黑体" w:eastAsia="黑体" w:hAnsi="黑体" w:cs="宋体"/>
          <w:color w:val="000000"/>
          <w:kern w:val="0"/>
          <w:sz w:val="32"/>
          <w:szCs w:val="32"/>
        </w:rPr>
        <w:t>、预算管理</w:t>
      </w:r>
      <w:r>
        <w:rPr>
          <w:rFonts w:ascii="黑体" w:eastAsia="黑体" w:hAnsi="黑体" w:cs="宋体" w:hint="eastAsia"/>
          <w:color w:val="000000"/>
          <w:kern w:val="0"/>
          <w:sz w:val="32"/>
          <w:szCs w:val="32"/>
        </w:rPr>
        <w:t>情况分</w:t>
      </w:r>
      <w:r>
        <w:rPr>
          <w:rFonts w:ascii="黑体" w:eastAsia="黑体" w:hAnsi="黑体" w:cs="宋体"/>
          <w:color w:val="000000"/>
          <w:kern w:val="0"/>
          <w:sz w:val="32"/>
          <w:szCs w:val="32"/>
        </w:rPr>
        <w:t>析</w:t>
      </w:r>
    </w:p>
    <w:p w:rsidR="00C40C26" w:rsidRDefault="00FC18C4">
      <w:pPr>
        <w:spacing w:line="360" w:lineRule="auto"/>
        <w:ind w:leftChars="50" w:left="105" w:firstLineChars="150" w:firstLine="480"/>
        <w:rPr>
          <w:rFonts w:ascii="楷体_GB2312" w:eastAsia="楷体_GB2312"/>
          <w:sz w:val="32"/>
          <w:szCs w:val="32"/>
        </w:rPr>
      </w:pPr>
      <w:r>
        <w:rPr>
          <w:rFonts w:ascii="楷体_GB2312" w:eastAsia="楷体_GB2312" w:hint="eastAsia"/>
          <w:sz w:val="32"/>
          <w:szCs w:val="32"/>
        </w:rPr>
        <w:t>（一）财务管理</w:t>
      </w:r>
    </w:p>
    <w:p w:rsidR="00C40C26" w:rsidRDefault="00FC18C4">
      <w:pPr>
        <w:spacing w:line="360" w:lineRule="auto"/>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为了进一步提高单位内部管理水平，规范内部控制，中心</w:t>
      </w:r>
      <w:r>
        <w:rPr>
          <w:rFonts w:ascii="仿宋_GB2312" w:eastAsia="仿宋_GB2312" w:hAnsi="仿宋" w:cs="仿宋_GB2312"/>
          <w:sz w:val="32"/>
          <w:szCs w:val="32"/>
        </w:rPr>
        <w:t>根据</w:t>
      </w:r>
      <w:r>
        <w:rPr>
          <w:rFonts w:ascii="仿宋_GB2312" w:eastAsia="仿宋_GB2312" w:hAnsi="仿宋" w:cs="仿宋_GB2312" w:hint="eastAsia"/>
          <w:sz w:val="32"/>
          <w:szCs w:val="32"/>
        </w:rPr>
        <w:t>《中华人民共和国会计法》、《中华人民共和国预算法》等法律法规和相关规定，制定了较为完备的《财务内部制度制度汇编》。</w:t>
      </w:r>
    </w:p>
    <w:p w:rsidR="000C2FF1" w:rsidRDefault="00FC18C4">
      <w:pPr>
        <w:spacing w:line="360" w:lineRule="auto"/>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其中</w:t>
      </w:r>
      <w:r>
        <w:rPr>
          <w:rFonts w:ascii="仿宋_GB2312" w:eastAsia="仿宋_GB2312" w:hAnsi="仿宋" w:cs="仿宋_GB2312"/>
          <w:sz w:val="32"/>
          <w:szCs w:val="32"/>
        </w:rPr>
        <w:t>财务制度</w:t>
      </w:r>
      <w:r>
        <w:rPr>
          <w:rFonts w:ascii="仿宋_GB2312" w:eastAsia="仿宋_GB2312" w:hAnsi="仿宋" w:cs="仿宋_GB2312" w:hint="eastAsia"/>
          <w:sz w:val="32"/>
          <w:szCs w:val="32"/>
        </w:rPr>
        <w:t>涵盖了《</w:t>
      </w:r>
      <w:r>
        <w:rPr>
          <w:rFonts w:ascii="仿宋_GB2312" w:eastAsia="仿宋_GB2312" w:hAnsi="仿宋" w:cs="仿宋_GB2312"/>
          <w:sz w:val="32"/>
          <w:szCs w:val="32"/>
        </w:rPr>
        <w:t>财务内部控制制度建设与持续优化管理办法</w:t>
      </w:r>
      <w:r>
        <w:rPr>
          <w:rFonts w:ascii="仿宋_GB2312" w:eastAsia="仿宋_GB2312" w:hAnsi="仿宋" w:cs="仿宋_GB2312" w:hint="eastAsia"/>
          <w:sz w:val="32"/>
          <w:szCs w:val="32"/>
        </w:rPr>
        <w:t>》《</w:t>
      </w:r>
      <w:r>
        <w:rPr>
          <w:rFonts w:ascii="仿宋_GB2312" w:eastAsia="仿宋_GB2312" w:hAnsi="仿宋" w:cs="仿宋_GB2312"/>
          <w:sz w:val="32"/>
          <w:szCs w:val="32"/>
        </w:rPr>
        <w:t>会计岗位管理办法</w:t>
      </w:r>
      <w:r>
        <w:rPr>
          <w:rFonts w:ascii="仿宋_GB2312" w:eastAsia="仿宋_GB2312" w:hAnsi="仿宋" w:cs="仿宋_GB2312" w:hint="eastAsia"/>
          <w:sz w:val="32"/>
          <w:szCs w:val="32"/>
        </w:rPr>
        <w:t>》《</w:t>
      </w:r>
      <w:r>
        <w:rPr>
          <w:rFonts w:ascii="仿宋_GB2312" w:eastAsia="仿宋_GB2312" w:hAnsi="仿宋" w:cs="仿宋_GB2312"/>
          <w:sz w:val="32"/>
          <w:szCs w:val="32"/>
        </w:rPr>
        <w:t>财务内部牵制制度</w:t>
      </w:r>
      <w:r>
        <w:rPr>
          <w:rFonts w:ascii="仿宋_GB2312" w:eastAsia="仿宋_GB2312" w:hAnsi="仿宋" w:cs="仿宋_GB2312" w:hint="eastAsia"/>
          <w:sz w:val="32"/>
          <w:szCs w:val="32"/>
        </w:rPr>
        <w:t>》</w:t>
      </w:r>
      <w:r>
        <w:rPr>
          <w:rFonts w:ascii="仿宋_GB2312" w:eastAsia="仿宋_GB2312" w:hAnsi="仿宋" w:cs="仿宋_GB2312" w:hint="eastAsia"/>
          <w:sz w:val="32"/>
          <w:szCs w:val="32"/>
        </w:rPr>
        <w:lastRenderedPageBreak/>
        <w:t>《</w:t>
      </w:r>
      <w:r>
        <w:rPr>
          <w:rFonts w:ascii="仿宋_GB2312" w:eastAsia="仿宋_GB2312" w:hAnsi="仿宋" w:cs="仿宋_GB2312"/>
          <w:sz w:val="32"/>
          <w:szCs w:val="32"/>
        </w:rPr>
        <w:t>财务印鉴管理办法</w:t>
      </w:r>
      <w:r>
        <w:rPr>
          <w:rFonts w:ascii="仿宋_GB2312" w:eastAsia="仿宋_GB2312" w:hAnsi="仿宋" w:cs="仿宋_GB2312" w:hint="eastAsia"/>
          <w:sz w:val="32"/>
          <w:szCs w:val="32"/>
        </w:rPr>
        <w:t>》《公务卡管理办法》《支票与网上银行管理办法》《会计档案管理办法》《项目资金管理办法》《预决算管理办法》《支出管理办法》《</w:t>
      </w:r>
      <w:r>
        <w:rPr>
          <w:rFonts w:ascii="仿宋_GB2312" w:eastAsia="仿宋_GB2312" w:hAnsi="仿宋" w:cs="仿宋_GB2312"/>
          <w:sz w:val="32"/>
          <w:szCs w:val="32"/>
        </w:rPr>
        <w:t>国内出差管理办法</w:t>
      </w:r>
      <w:r>
        <w:rPr>
          <w:rFonts w:ascii="仿宋_GB2312" w:eastAsia="仿宋_GB2312" w:hAnsi="仿宋" w:cs="仿宋_GB2312" w:hint="eastAsia"/>
          <w:sz w:val="32"/>
          <w:szCs w:val="32"/>
        </w:rPr>
        <w:t>》《中心会议费管理办法》《国内公务接待管理办法》《培训管理办法》《因公临时出国经费管理办法》等，</w:t>
      </w:r>
      <w:r w:rsidR="000C2FF1">
        <w:rPr>
          <w:rFonts w:ascii="仿宋_GB2312" w:eastAsia="仿宋_GB2312" w:hAnsi="仿宋" w:cs="仿宋_GB2312" w:hint="eastAsia"/>
          <w:sz w:val="32"/>
          <w:szCs w:val="32"/>
        </w:rPr>
        <w:t>从精细化财务预测管理、会计决策及财务分析与检查的角度着手，根据明确的预算目标，精准的预测中心资金使用情况，确定预算额度</w:t>
      </w:r>
      <w:r w:rsidR="00705C30">
        <w:rPr>
          <w:rFonts w:ascii="仿宋_GB2312" w:eastAsia="仿宋_GB2312" w:hAnsi="仿宋" w:cs="仿宋_GB2312" w:hint="eastAsia"/>
          <w:sz w:val="32"/>
          <w:szCs w:val="32"/>
        </w:rPr>
        <w:t>；</w:t>
      </w:r>
      <w:r w:rsidR="000C2FF1">
        <w:rPr>
          <w:rFonts w:ascii="仿宋_GB2312" w:eastAsia="仿宋_GB2312" w:hAnsi="仿宋" w:cs="仿宋_GB2312" w:hint="eastAsia"/>
          <w:sz w:val="32"/>
          <w:szCs w:val="32"/>
        </w:rPr>
        <w:t>在会计决策中对中心财务数据进行全面系统的分析，落实到资金使用细节，对成本费用的变化进行</w:t>
      </w:r>
      <w:r w:rsidR="00705C30">
        <w:rPr>
          <w:rFonts w:ascii="仿宋_GB2312" w:eastAsia="仿宋_GB2312" w:hAnsi="仿宋" w:cs="仿宋_GB2312" w:hint="eastAsia"/>
          <w:sz w:val="32"/>
          <w:szCs w:val="32"/>
        </w:rPr>
        <w:t>全面掌控，</w:t>
      </w:r>
      <w:r w:rsidR="000C2FF1">
        <w:rPr>
          <w:rFonts w:ascii="仿宋_GB2312" w:eastAsia="仿宋_GB2312" w:hAnsi="仿宋" w:cs="仿宋_GB2312" w:hint="eastAsia"/>
          <w:sz w:val="32"/>
          <w:szCs w:val="32"/>
        </w:rPr>
        <w:t>保障发展策略能够得到切实应用</w:t>
      </w:r>
      <w:r w:rsidR="00705C30">
        <w:rPr>
          <w:rFonts w:ascii="仿宋_GB2312" w:eastAsia="仿宋_GB2312" w:hAnsi="仿宋" w:cs="仿宋_GB2312" w:hint="eastAsia"/>
          <w:sz w:val="32"/>
          <w:szCs w:val="32"/>
        </w:rPr>
        <w:t>；</w:t>
      </w:r>
      <w:r w:rsidR="000C2FF1">
        <w:rPr>
          <w:rFonts w:ascii="仿宋_GB2312" w:eastAsia="仿宋_GB2312" w:hAnsi="仿宋" w:cs="仿宋_GB2312" w:hint="eastAsia"/>
          <w:sz w:val="32"/>
          <w:szCs w:val="32"/>
        </w:rPr>
        <w:t>将内部控制贯穿运用到整个资金使用环节，确保资金使用安全，</w:t>
      </w:r>
      <w:r w:rsidR="00705C30">
        <w:rPr>
          <w:rFonts w:ascii="仿宋_GB2312" w:eastAsia="仿宋_GB2312" w:hAnsi="仿宋" w:cs="仿宋_GB2312" w:hint="eastAsia"/>
          <w:sz w:val="32"/>
          <w:szCs w:val="32"/>
        </w:rPr>
        <w:t>提高资金使用效率、防范内控执行不到位形成的管理风险。</w:t>
      </w:r>
    </w:p>
    <w:p w:rsidR="00C40C26" w:rsidRDefault="00FC18C4">
      <w:pPr>
        <w:spacing w:line="360" w:lineRule="auto"/>
        <w:ind w:leftChars="50" w:left="105" w:firstLineChars="150" w:firstLine="480"/>
        <w:rPr>
          <w:rFonts w:ascii="楷体_GB2312" w:eastAsia="楷体_GB2312"/>
          <w:sz w:val="32"/>
          <w:szCs w:val="32"/>
        </w:rPr>
      </w:pPr>
      <w:r>
        <w:rPr>
          <w:rFonts w:ascii="楷体_GB2312" w:eastAsia="楷体_GB2312" w:hint="eastAsia"/>
          <w:sz w:val="32"/>
          <w:szCs w:val="32"/>
        </w:rPr>
        <w:t>（二）资产管理</w:t>
      </w:r>
    </w:p>
    <w:p w:rsidR="00C40C26" w:rsidRDefault="00FC18C4">
      <w:pPr>
        <w:spacing w:line="360" w:lineRule="auto"/>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中心根据《事业单位国有资产管理暂行办法》和《行政事业单位固定资产管理暂行办法》及财政部门相关要求，结合单位实际情况，制定了《存货管理办法》《固定资产管理办法》和《无形资产管理办法》，规范和加强了中心及各下属单位的资产管理工作，维护了国有资产的安全完整、建立了完善的资产登记和保管制度，确保资产来源清晰，去向明确，建立定期盘点制度，及时发现和解决资产管理中的问题。</w:t>
      </w:r>
    </w:p>
    <w:p w:rsidR="00C40C26" w:rsidRDefault="00FC18C4">
      <w:pPr>
        <w:spacing w:line="360" w:lineRule="auto"/>
        <w:ind w:leftChars="50" w:left="105" w:firstLineChars="150" w:firstLine="480"/>
        <w:rPr>
          <w:rFonts w:ascii="楷体_GB2312" w:eastAsia="楷体_GB2312"/>
          <w:sz w:val="32"/>
          <w:szCs w:val="32"/>
        </w:rPr>
      </w:pPr>
      <w:r>
        <w:rPr>
          <w:rFonts w:ascii="楷体_GB2312" w:eastAsia="楷体_GB2312" w:hint="eastAsia"/>
          <w:sz w:val="32"/>
          <w:szCs w:val="32"/>
        </w:rPr>
        <w:t>（三）绩效</w:t>
      </w:r>
      <w:r>
        <w:rPr>
          <w:rFonts w:ascii="楷体_GB2312" w:eastAsia="楷体_GB2312"/>
          <w:sz w:val="32"/>
          <w:szCs w:val="32"/>
        </w:rPr>
        <w:t>管理</w:t>
      </w:r>
    </w:p>
    <w:p w:rsidR="00C40C26" w:rsidRDefault="00FC18C4">
      <w:pPr>
        <w:spacing w:line="360" w:lineRule="auto"/>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lastRenderedPageBreak/>
        <w:t>中心</w:t>
      </w:r>
      <w:r>
        <w:rPr>
          <w:rFonts w:ascii="仿宋_GB2312" w:eastAsia="仿宋_GB2312" w:hAnsi="仿宋" w:cs="仿宋_GB2312"/>
          <w:sz w:val="32"/>
          <w:szCs w:val="32"/>
        </w:rPr>
        <w:t>高度重视绩效管理工作，</w:t>
      </w:r>
      <w:r>
        <w:rPr>
          <w:rFonts w:ascii="仿宋_GB2312" w:eastAsia="仿宋_GB2312" w:hAnsi="仿宋" w:cs="仿宋_GB2312" w:hint="eastAsia"/>
          <w:sz w:val="32"/>
          <w:szCs w:val="32"/>
        </w:rPr>
        <w:t>逐步建立绩效管理体系，建立了全面规范透明、标准科学、约束有力的预算制度，全面实施绩效管理。</w:t>
      </w:r>
    </w:p>
    <w:p w:rsidR="00C40C26" w:rsidRDefault="00FC18C4">
      <w:pPr>
        <w:ind w:firstLineChars="200" w:firstLine="640"/>
        <w:rPr>
          <w:rFonts w:ascii="仿宋_GB2312" w:eastAsia="仿宋_GB2312" w:hAnsi="仿宋" w:cs="仿宋_GB2312"/>
          <w:sz w:val="32"/>
          <w:szCs w:val="32"/>
        </w:rPr>
      </w:pPr>
      <w:r>
        <w:rPr>
          <w:rFonts w:ascii="仿宋_GB2312" w:eastAsia="仿宋_GB2312" w:hAnsi="仿宋" w:cs="仿宋_GB2312"/>
          <w:sz w:val="32"/>
          <w:szCs w:val="32"/>
        </w:rPr>
        <w:t>1</w:t>
      </w:r>
      <w:r>
        <w:rPr>
          <w:rFonts w:ascii="仿宋_GB2312" w:eastAsia="仿宋_GB2312" w:hAnsi="仿宋" w:cs="仿宋_GB2312" w:hint="eastAsia"/>
          <w:sz w:val="32"/>
          <w:szCs w:val="32"/>
        </w:rPr>
        <w:t>.构建全方位预算绩效管理格局。将中心预算收支全面纳入绩效管理，</w:t>
      </w:r>
      <w:r>
        <w:rPr>
          <w:rFonts w:ascii="仿宋_GB2312" w:eastAsia="仿宋_GB2312" w:hAnsi="仿宋" w:cs="仿宋_GB2312"/>
          <w:sz w:val="32"/>
          <w:szCs w:val="32"/>
        </w:rPr>
        <w:t>增强预算统筹能力，</w:t>
      </w:r>
      <w:r>
        <w:rPr>
          <w:rFonts w:ascii="仿宋_GB2312" w:eastAsia="仿宋_GB2312" w:hAnsi="仿宋" w:cs="仿宋_GB2312" w:hint="eastAsia"/>
          <w:sz w:val="32"/>
          <w:szCs w:val="32"/>
        </w:rPr>
        <w:t>推动整体绩效水平，全周期跟踪问效，随时启动调整机制，推动提高项目实施效果。</w:t>
      </w:r>
    </w:p>
    <w:p w:rsidR="00C40C26" w:rsidRDefault="00FC18C4">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2.</w:t>
      </w:r>
      <w:r>
        <w:rPr>
          <w:rFonts w:ascii="仿宋_GB2312" w:eastAsia="仿宋_GB2312" w:hAnsi="仿宋" w:cs="仿宋_GB2312"/>
          <w:sz w:val="32"/>
          <w:szCs w:val="32"/>
        </w:rPr>
        <w:t>建立全过程预算绩效管理链条。</w:t>
      </w:r>
      <w:r>
        <w:rPr>
          <w:rFonts w:ascii="仿宋_GB2312" w:eastAsia="仿宋_GB2312" w:hAnsi="仿宋" w:cs="仿宋_GB2312" w:hint="eastAsia"/>
          <w:sz w:val="32"/>
          <w:szCs w:val="32"/>
        </w:rPr>
        <w:t>将绩效理念和方法深度融入预算编制、执行、监督全过程，构建事前、事中、事后绩效管理闭环系统，包括建立绩效评估机制、强化绩效目标管理、做好绩效运行监控、开展绩效评价和加强结果应用等内容。</w:t>
      </w:r>
    </w:p>
    <w:p w:rsidR="00C40C26" w:rsidRDefault="00FC18C4">
      <w:pPr>
        <w:ind w:firstLineChars="200" w:firstLine="640"/>
        <w:rPr>
          <w:rFonts w:ascii="仿宋_GB2312" w:eastAsia="仿宋_GB2312"/>
          <w:sz w:val="32"/>
          <w:szCs w:val="32"/>
        </w:rPr>
      </w:pPr>
      <w:r>
        <w:rPr>
          <w:rFonts w:ascii="仿宋_GB2312" w:eastAsia="仿宋_GB2312" w:hAnsi="仿宋" w:cs="仿宋_GB2312" w:hint="eastAsia"/>
          <w:sz w:val="32"/>
          <w:szCs w:val="32"/>
        </w:rPr>
        <w:t>3</w:t>
      </w:r>
      <w:r w:rsidR="00E07256">
        <w:rPr>
          <w:rFonts w:ascii="仿宋_GB2312" w:eastAsia="仿宋_GB2312" w:hAnsi="仿宋" w:cs="仿宋_GB2312" w:hint="eastAsia"/>
          <w:sz w:val="32"/>
          <w:szCs w:val="32"/>
        </w:rPr>
        <w:t>．开展</w:t>
      </w:r>
      <w:r>
        <w:rPr>
          <w:rFonts w:ascii="仿宋_GB2312" w:eastAsia="仿宋_GB2312" w:hAnsi="仿宋" w:cs="仿宋_GB2312" w:hint="eastAsia"/>
          <w:sz w:val="32"/>
          <w:szCs w:val="32"/>
        </w:rPr>
        <w:t>绩效评估。从源头上防控财政资源配置</w:t>
      </w:r>
      <w:r w:rsidR="00132E85">
        <w:rPr>
          <w:rFonts w:ascii="仿宋_GB2312" w:eastAsia="仿宋_GB2312" w:hAnsi="仿宋" w:cs="仿宋_GB2312" w:hint="eastAsia"/>
          <w:sz w:val="32"/>
          <w:szCs w:val="32"/>
        </w:rPr>
        <w:t>低效</w:t>
      </w:r>
      <w:r>
        <w:rPr>
          <w:rFonts w:ascii="仿宋_GB2312" w:eastAsia="仿宋_GB2312" w:hAnsi="仿宋" w:cs="仿宋_GB2312" w:hint="eastAsia"/>
          <w:sz w:val="32"/>
          <w:szCs w:val="32"/>
        </w:rPr>
        <w:t>无效，将管理关口前移。2023年，中心委托</w:t>
      </w:r>
      <w:r>
        <w:rPr>
          <w:rFonts w:ascii="仿宋_GB2312" w:eastAsia="仿宋_GB2312" w:hAnsi="仿宋" w:cs="仿宋_GB2312"/>
          <w:sz w:val="32"/>
          <w:szCs w:val="32"/>
        </w:rPr>
        <w:t>第三方机构</w:t>
      </w:r>
      <w:r>
        <w:rPr>
          <w:rFonts w:ascii="仿宋_GB2312" w:eastAsia="仿宋_GB2312" w:hAnsi="仿宋" w:cs="仿宋_GB2312" w:hint="eastAsia"/>
          <w:sz w:val="32"/>
          <w:szCs w:val="32"/>
        </w:rPr>
        <w:t>对中山公园来今雨轩饭庄装修工程和中山公园部分建筑油饰修缮项目等</w:t>
      </w:r>
      <w:r w:rsidR="00705C30" w:rsidRPr="00705C30">
        <w:rPr>
          <w:rFonts w:ascii="仿宋_GB2312" w:eastAsia="仿宋_GB2312" w:hAnsi="仿宋" w:cs="仿宋_GB2312" w:hint="eastAsia"/>
          <w:sz w:val="32"/>
          <w:szCs w:val="32"/>
        </w:rPr>
        <w:t>11</w:t>
      </w:r>
      <w:r>
        <w:rPr>
          <w:rFonts w:ascii="仿宋_GB2312" w:eastAsia="仿宋_GB2312" w:hint="eastAsia"/>
          <w:sz w:val="32"/>
          <w:szCs w:val="32"/>
        </w:rPr>
        <w:t>个项目进行了事前绩效评估；除要求对所有项目进行自评外，对陶然亭公园北部广场生态景观提升工程</w:t>
      </w:r>
      <w:r>
        <w:rPr>
          <w:rFonts w:ascii="仿宋_GB2312" w:eastAsia="仿宋_GB2312" w:hint="eastAsia"/>
          <w:color w:val="000000" w:themeColor="text1"/>
          <w:sz w:val="32"/>
          <w:szCs w:val="32"/>
        </w:rPr>
        <w:t>等12个项目委托中介机构进行了</w:t>
      </w:r>
      <w:r w:rsidR="00E07256">
        <w:rPr>
          <w:rFonts w:ascii="仿宋_GB2312" w:eastAsia="仿宋_GB2312" w:hint="eastAsia"/>
          <w:color w:val="000000" w:themeColor="text1"/>
          <w:sz w:val="32"/>
          <w:szCs w:val="32"/>
        </w:rPr>
        <w:t>普通</w:t>
      </w:r>
      <w:r>
        <w:rPr>
          <w:rFonts w:ascii="仿宋_GB2312" w:eastAsia="仿宋_GB2312" w:hint="eastAsia"/>
          <w:color w:val="000000" w:themeColor="text1"/>
          <w:sz w:val="32"/>
          <w:szCs w:val="32"/>
        </w:rPr>
        <w:t>评价。</w:t>
      </w:r>
    </w:p>
    <w:p w:rsidR="00C40C26" w:rsidRDefault="00FC18C4">
      <w:pPr>
        <w:spacing w:line="360" w:lineRule="auto"/>
        <w:ind w:leftChars="50" w:left="105" w:firstLineChars="150" w:firstLine="480"/>
        <w:rPr>
          <w:rFonts w:ascii="楷体_GB2312" w:eastAsia="楷体_GB2312"/>
          <w:sz w:val="32"/>
          <w:szCs w:val="32"/>
        </w:rPr>
      </w:pPr>
      <w:r>
        <w:rPr>
          <w:rFonts w:ascii="楷体_GB2312" w:eastAsia="楷体_GB2312" w:hint="eastAsia"/>
          <w:sz w:val="32"/>
          <w:szCs w:val="32"/>
        </w:rPr>
        <w:t>（四）结转结余率</w:t>
      </w:r>
    </w:p>
    <w:p w:rsidR="00C40C26" w:rsidRDefault="00FC18C4">
      <w:pPr>
        <w:spacing w:line="360" w:lineRule="auto"/>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中心2023</w:t>
      </w:r>
      <w:r>
        <w:rPr>
          <w:rFonts w:ascii="仿宋_GB2312" w:eastAsia="仿宋_GB2312" w:hAnsi="仿宋" w:cs="仿宋_GB2312"/>
          <w:sz w:val="32"/>
          <w:szCs w:val="32"/>
        </w:rPr>
        <w:t>年末结转结余</w:t>
      </w:r>
      <w:r>
        <w:rPr>
          <w:rFonts w:ascii="仿宋_GB2312" w:eastAsia="仿宋_GB2312" w:hAnsi="仿宋" w:cs="仿宋_GB2312" w:hint="eastAsia"/>
          <w:sz w:val="32"/>
          <w:szCs w:val="32"/>
        </w:rPr>
        <w:t>金额为</w:t>
      </w:r>
      <w:r>
        <w:rPr>
          <w:rFonts w:ascii="仿宋_GB2312" w:eastAsia="仿宋_GB2312" w:hAnsi="仿宋" w:cs="仿宋_GB2312"/>
          <w:sz w:val="32"/>
          <w:szCs w:val="32"/>
        </w:rPr>
        <w:t>35</w:t>
      </w:r>
      <w:r>
        <w:rPr>
          <w:rFonts w:ascii="仿宋_GB2312" w:eastAsia="仿宋_GB2312" w:hAnsi="仿宋" w:cs="仿宋_GB2312" w:hint="eastAsia"/>
          <w:sz w:val="32"/>
          <w:szCs w:val="32"/>
        </w:rPr>
        <w:t>,</w:t>
      </w:r>
      <w:r>
        <w:rPr>
          <w:rFonts w:ascii="仿宋_GB2312" w:eastAsia="仿宋_GB2312" w:hAnsi="仿宋" w:cs="仿宋_GB2312"/>
          <w:sz w:val="32"/>
          <w:szCs w:val="32"/>
        </w:rPr>
        <w:t>466.1</w:t>
      </w:r>
      <w:r>
        <w:rPr>
          <w:rFonts w:ascii="仿宋_GB2312" w:eastAsia="仿宋_GB2312" w:hAnsi="仿宋" w:cs="仿宋_GB2312" w:hint="eastAsia"/>
          <w:sz w:val="32"/>
          <w:szCs w:val="32"/>
        </w:rPr>
        <w:t>6</w:t>
      </w:r>
      <w:r>
        <w:rPr>
          <w:rFonts w:ascii="仿宋_GB2312" w:eastAsia="仿宋_GB2312" w:hAnsi="仿宋" w:cs="仿宋_GB2312"/>
          <w:sz w:val="32"/>
          <w:szCs w:val="32"/>
        </w:rPr>
        <w:t>万元，全年支出预算金额</w:t>
      </w:r>
      <w:r>
        <w:rPr>
          <w:rFonts w:ascii="仿宋_GB2312" w:eastAsia="仿宋_GB2312" w:hAnsi="仿宋" w:cs="仿宋_GB2312" w:hint="eastAsia"/>
          <w:sz w:val="32"/>
          <w:szCs w:val="32"/>
        </w:rPr>
        <w:t>为</w:t>
      </w:r>
      <w:r>
        <w:rPr>
          <w:rFonts w:ascii="仿宋_GB2312" w:eastAsia="仿宋_GB2312" w:hAnsi="仿宋" w:cs="仿宋_GB2312"/>
          <w:sz w:val="32"/>
          <w:szCs w:val="32"/>
        </w:rPr>
        <w:t>341,041.53万元</w:t>
      </w:r>
      <w:r>
        <w:rPr>
          <w:rFonts w:ascii="仿宋_GB2312" w:eastAsia="仿宋_GB2312" w:hAnsi="仿宋" w:cs="仿宋_GB2312" w:hint="eastAsia"/>
          <w:sz w:val="32"/>
          <w:szCs w:val="32"/>
        </w:rPr>
        <w:t>，结转结余率为10.40</w:t>
      </w:r>
      <w:r>
        <w:rPr>
          <w:rFonts w:ascii="仿宋_GB2312" w:eastAsia="仿宋_GB2312" w:hAnsi="仿宋" w:cs="仿宋_GB2312"/>
          <w:sz w:val="32"/>
          <w:szCs w:val="32"/>
        </w:rPr>
        <w:t>％，较上年结转结余率7.71％略有上升</w:t>
      </w:r>
      <w:r w:rsidR="00E07256">
        <w:rPr>
          <w:rFonts w:ascii="仿宋_GB2312" w:eastAsia="仿宋_GB2312" w:hAnsi="仿宋" w:cs="仿宋_GB2312" w:hint="eastAsia"/>
          <w:sz w:val="32"/>
          <w:szCs w:val="32"/>
        </w:rPr>
        <w:t>，</w:t>
      </w:r>
      <w:r>
        <w:rPr>
          <w:rFonts w:ascii="仿宋_GB2312" w:eastAsia="仿宋_GB2312" w:hAnsi="仿宋" w:cs="仿宋_GB2312" w:hint="eastAsia"/>
          <w:sz w:val="32"/>
          <w:szCs w:val="32"/>
        </w:rPr>
        <w:t>上升原因为</w:t>
      </w:r>
      <w:r w:rsidR="00E07256">
        <w:rPr>
          <w:rFonts w:ascii="仿宋_GB2312" w:eastAsia="仿宋_GB2312" w:hAnsi="仿宋" w:cs="仿宋_GB2312" w:hint="eastAsia"/>
          <w:sz w:val="32"/>
          <w:szCs w:val="32"/>
        </w:rPr>
        <w:t>植物园10</w:t>
      </w:r>
      <w:r w:rsidR="00E07256">
        <w:rPr>
          <w:rFonts w:ascii="仿宋_GB2312" w:eastAsia="仿宋_GB2312" w:hAnsi="仿宋" w:cs="仿宋_GB2312" w:hint="eastAsia"/>
          <w:sz w:val="32"/>
          <w:szCs w:val="32"/>
        </w:rPr>
        <w:lastRenderedPageBreak/>
        <w:t>月收到一笔大额基建项目资金</w:t>
      </w:r>
      <w:r>
        <w:rPr>
          <w:rFonts w:ascii="仿宋_GB2312" w:eastAsia="仿宋_GB2312" w:hAnsi="仿宋" w:cs="仿宋_GB2312" w:hint="eastAsia"/>
          <w:sz w:val="32"/>
          <w:szCs w:val="32"/>
        </w:rPr>
        <w:t>。近年来,中心逐步提升政府采购活动的组织管理水平和财政资金使用效益, 做到约束机制健全、权力运行规范、风险控制有力、监督问责到位,实现对政府采购活动内部权力运行的有效制约，从而形成了一定资金的节约。</w:t>
      </w:r>
    </w:p>
    <w:p w:rsidR="00C40C26" w:rsidRDefault="00FC18C4">
      <w:pPr>
        <w:spacing w:line="360" w:lineRule="auto"/>
        <w:ind w:leftChars="50" w:left="105" w:firstLineChars="150" w:firstLine="480"/>
        <w:rPr>
          <w:rFonts w:ascii="楷体_GB2312" w:eastAsia="楷体_GB2312"/>
          <w:sz w:val="32"/>
          <w:szCs w:val="32"/>
        </w:rPr>
      </w:pPr>
      <w:r>
        <w:rPr>
          <w:rFonts w:ascii="楷体_GB2312" w:eastAsia="楷体_GB2312" w:hint="eastAsia"/>
          <w:sz w:val="32"/>
          <w:szCs w:val="32"/>
        </w:rPr>
        <w:t>（五）部门</w:t>
      </w:r>
      <w:r>
        <w:rPr>
          <w:rFonts w:ascii="楷体_GB2312" w:eastAsia="楷体_GB2312"/>
          <w:sz w:val="32"/>
          <w:szCs w:val="32"/>
        </w:rPr>
        <w:t>预决算差异率</w:t>
      </w:r>
    </w:p>
    <w:p w:rsidR="00C40C26" w:rsidRDefault="00FC18C4">
      <w:pPr>
        <w:spacing w:line="360" w:lineRule="auto"/>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中心202</w:t>
      </w:r>
      <w:r w:rsidR="00E07256">
        <w:rPr>
          <w:rFonts w:ascii="仿宋_GB2312" w:eastAsia="仿宋_GB2312" w:hAnsi="仿宋" w:cs="仿宋_GB2312" w:hint="eastAsia"/>
          <w:sz w:val="32"/>
          <w:szCs w:val="32"/>
        </w:rPr>
        <w:t>3</w:t>
      </w:r>
      <w:r>
        <w:rPr>
          <w:rFonts w:ascii="仿宋_GB2312" w:eastAsia="仿宋_GB2312" w:hAnsi="仿宋" w:cs="仿宋_GB2312" w:hint="eastAsia"/>
          <w:sz w:val="32"/>
          <w:szCs w:val="32"/>
        </w:rPr>
        <w:t>年</w:t>
      </w:r>
      <w:r>
        <w:rPr>
          <w:rFonts w:ascii="仿宋_GB2312" w:eastAsia="仿宋_GB2312" w:hAnsi="仿宋" w:cs="仿宋_GB2312"/>
          <w:sz w:val="32"/>
          <w:szCs w:val="32"/>
        </w:rPr>
        <w:t>年初</w:t>
      </w:r>
      <w:r>
        <w:rPr>
          <w:rFonts w:ascii="仿宋_GB2312" w:eastAsia="仿宋_GB2312" w:hAnsi="仿宋" w:cs="仿宋_GB2312" w:hint="eastAsia"/>
          <w:sz w:val="32"/>
          <w:szCs w:val="32"/>
        </w:rPr>
        <w:t>部门</w:t>
      </w:r>
      <w:r>
        <w:rPr>
          <w:rFonts w:ascii="仿宋_GB2312" w:eastAsia="仿宋_GB2312" w:hAnsi="仿宋" w:cs="仿宋_GB2312"/>
          <w:sz w:val="32"/>
          <w:szCs w:val="32"/>
        </w:rPr>
        <w:t>预算</w:t>
      </w:r>
      <w:r>
        <w:rPr>
          <w:rFonts w:ascii="仿宋_GB2312" w:eastAsia="仿宋_GB2312" w:hAnsi="仿宋" w:cs="仿宋_GB2312" w:hint="eastAsia"/>
          <w:sz w:val="32"/>
          <w:szCs w:val="32"/>
        </w:rPr>
        <w:t>金额</w:t>
      </w:r>
      <w:r>
        <w:rPr>
          <w:rFonts w:ascii="仿宋_GB2312" w:eastAsia="仿宋_GB2312" w:hAnsi="仿宋" w:cs="仿宋_GB2312"/>
          <w:sz w:val="32"/>
          <w:szCs w:val="32"/>
        </w:rPr>
        <w:t>为300,317.18 万元，决算</w:t>
      </w:r>
      <w:r>
        <w:rPr>
          <w:rFonts w:ascii="仿宋_GB2312" w:eastAsia="仿宋_GB2312" w:hAnsi="仿宋" w:cs="仿宋_GB2312" w:hint="eastAsia"/>
          <w:sz w:val="32"/>
          <w:szCs w:val="32"/>
        </w:rPr>
        <w:t>金额</w:t>
      </w:r>
      <w:r>
        <w:rPr>
          <w:rFonts w:ascii="仿宋_GB2312" w:eastAsia="仿宋_GB2312" w:hAnsi="仿宋" w:cs="仿宋_GB2312"/>
          <w:sz w:val="32"/>
          <w:szCs w:val="32"/>
        </w:rPr>
        <w:t>为305,575.37万元，部门预决算差异率为</w:t>
      </w:r>
      <w:r>
        <w:rPr>
          <w:rFonts w:ascii="仿宋_GB2312" w:eastAsia="仿宋_GB2312" w:hAnsi="仿宋" w:cs="仿宋_GB2312" w:hint="eastAsia"/>
          <w:sz w:val="32"/>
          <w:szCs w:val="32"/>
        </w:rPr>
        <w:t>1.75</w:t>
      </w:r>
      <w:r>
        <w:rPr>
          <w:rFonts w:ascii="仿宋_GB2312" w:eastAsia="仿宋_GB2312" w:hAnsi="仿宋" w:cs="仿宋_GB2312"/>
          <w:sz w:val="32"/>
          <w:szCs w:val="32"/>
        </w:rPr>
        <w:t>％，部门预决算差异率控制</w:t>
      </w:r>
      <w:r>
        <w:rPr>
          <w:rFonts w:ascii="仿宋_GB2312" w:eastAsia="仿宋_GB2312" w:hAnsi="仿宋" w:cs="仿宋_GB2312" w:hint="eastAsia"/>
          <w:sz w:val="32"/>
          <w:szCs w:val="32"/>
        </w:rPr>
        <w:t>良好</w:t>
      </w:r>
      <w:r>
        <w:rPr>
          <w:rFonts w:ascii="仿宋_GB2312" w:eastAsia="仿宋_GB2312" w:hAnsi="仿宋" w:cs="仿宋_GB2312"/>
          <w:sz w:val="32"/>
          <w:szCs w:val="32"/>
        </w:rPr>
        <w:t>。</w:t>
      </w:r>
    </w:p>
    <w:p w:rsidR="00C40C26" w:rsidRDefault="00FC18C4">
      <w:pPr>
        <w:spacing w:line="360" w:lineRule="auto"/>
        <w:ind w:leftChars="50" w:left="105" w:firstLineChars="150" w:firstLine="480"/>
        <w:rPr>
          <w:rFonts w:ascii="楷体_GB2312" w:eastAsia="楷体_GB2312"/>
          <w:sz w:val="32"/>
          <w:szCs w:val="32"/>
        </w:rPr>
      </w:pPr>
      <w:r>
        <w:rPr>
          <w:rFonts w:ascii="楷体_GB2312" w:eastAsia="楷体_GB2312" w:hint="eastAsia"/>
          <w:sz w:val="32"/>
          <w:szCs w:val="32"/>
        </w:rPr>
        <w:t>五、总体</w:t>
      </w:r>
      <w:r>
        <w:rPr>
          <w:rFonts w:ascii="楷体_GB2312" w:eastAsia="楷体_GB2312"/>
          <w:sz w:val="32"/>
          <w:szCs w:val="32"/>
        </w:rPr>
        <w:t>评价结论</w:t>
      </w:r>
    </w:p>
    <w:p w:rsidR="00C40C26" w:rsidRDefault="00FC18C4">
      <w:pPr>
        <w:spacing w:line="360" w:lineRule="auto"/>
        <w:ind w:leftChars="50" w:left="105" w:firstLineChars="150" w:firstLine="480"/>
        <w:rPr>
          <w:rFonts w:ascii="楷体_GB2312" w:eastAsia="楷体_GB2312"/>
          <w:sz w:val="32"/>
          <w:szCs w:val="32"/>
        </w:rPr>
      </w:pPr>
      <w:r>
        <w:rPr>
          <w:rFonts w:ascii="楷体_GB2312" w:eastAsia="楷体_GB2312" w:hint="eastAsia"/>
          <w:sz w:val="32"/>
          <w:szCs w:val="32"/>
        </w:rPr>
        <w:t>（一）评价</w:t>
      </w:r>
      <w:r>
        <w:rPr>
          <w:rFonts w:ascii="楷体_GB2312" w:eastAsia="楷体_GB2312"/>
          <w:sz w:val="32"/>
          <w:szCs w:val="32"/>
        </w:rPr>
        <w:t>得分</w:t>
      </w:r>
      <w:r>
        <w:rPr>
          <w:rFonts w:ascii="楷体_GB2312" w:eastAsia="楷体_GB2312" w:hint="eastAsia"/>
          <w:sz w:val="32"/>
          <w:szCs w:val="32"/>
        </w:rPr>
        <w:t>情况</w:t>
      </w:r>
    </w:p>
    <w:p w:rsidR="00C40C26" w:rsidRDefault="00FC18C4">
      <w:pPr>
        <w:spacing w:line="360" w:lineRule="auto"/>
        <w:ind w:firstLineChars="200" w:firstLine="640"/>
        <w:rPr>
          <w:rFonts w:ascii="仿宋_GB2312" w:eastAsia="仿宋_GB2312" w:hAnsi="仿宋" w:cs="仿宋_GB2312"/>
          <w:sz w:val="32"/>
          <w:szCs w:val="32"/>
        </w:rPr>
      </w:pPr>
      <w:r>
        <w:rPr>
          <w:rFonts w:ascii="仿宋_GB2312" w:eastAsia="仿宋_GB2312" w:hAnsi="仿宋" w:cs="仿宋_GB2312"/>
          <w:sz w:val="32"/>
          <w:szCs w:val="32"/>
        </w:rPr>
        <w:t>根据《部门整体支出绩效评价指标评分表》（详见附件），绩效评价指标评分总分100分，</w:t>
      </w:r>
      <w:r>
        <w:rPr>
          <w:rFonts w:ascii="仿宋_GB2312" w:eastAsia="仿宋_GB2312" w:hAnsi="仿宋" w:cs="仿宋_GB2312" w:hint="eastAsia"/>
          <w:sz w:val="32"/>
          <w:szCs w:val="32"/>
        </w:rPr>
        <w:t>中心</w:t>
      </w:r>
      <w:r>
        <w:rPr>
          <w:rFonts w:ascii="仿宋_GB2312" w:eastAsia="仿宋_GB2312" w:hAnsi="仿宋" w:cs="仿宋_GB2312"/>
          <w:sz w:val="32"/>
          <w:szCs w:val="32"/>
        </w:rPr>
        <w:t>自评得</w:t>
      </w:r>
      <w:r w:rsidRPr="00705C30">
        <w:rPr>
          <w:rFonts w:ascii="仿宋_GB2312" w:eastAsia="仿宋_GB2312" w:hAnsi="仿宋" w:cs="仿宋_GB2312"/>
          <w:sz w:val="32"/>
          <w:szCs w:val="32"/>
        </w:rPr>
        <w:t>分9</w:t>
      </w:r>
      <w:r w:rsidR="00705C30" w:rsidRPr="00705C30">
        <w:rPr>
          <w:rFonts w:ascii="仿宋_GB2312" w:eastAsia="仿宋_GB2312" w:hAnsi="仿宋" w:cs="仿宋_GB2312" w:hint="eastAsia"/>
          <w:sz w:val="32"/>
          <w:szCs w:val="32"/>
        </w:rPr>
        <w:t>3</w:t>
      </w:r>
      <w:r w:rsidRPr="00705C30">
        <w:rPr>
          <w:rFonts w:ascii="仿宋_GB2312" w:eastAsia="仿宋_GB2312" w:hAnsi="仿宋" w:cs="仿宋_GB2312" w:hint="eastAsia"/>
          <w:sz w:val="32"/>
          <w:szCs w:val="32"/>
        </w:rPr>
        <w:t>.</w:t>
      </w:r>
      <w:r w:rsidR="00705C30" w:rsidRPr="00705C30">
        <w:rPr>
          <w:rFonts w:ascii="仿宋_GB2312" w:eastAsia="仿宋_GB2312" w:hAnsi="仿宋" w:cs="仿宋_GB2312" w:hint="eastAsia"/>
          <w:sz w:val="32"/>
          <w:szCs w:val="32"/>
        </w:rPr>
        <w:t>0</w:t>
      </w:r>
      <w:r w:rsidRPr="00705C30">
        <w:rPr>
          <w:rFonts w:ascii="仿宋_GB2312" w:eastAsia="仿宋_GB2312" w:hAnsi="仿宋" w:cs="仿宋_GB2312" w:hint="eastAsia"/>
          <w:sz w:val="32"/>
          <w:szCs w:val="32"/>
        </w:rPr>
        <w:t>4</w:t>
      </w:r>
      <w:r>
        <w:rPr>
          <w:rFonts w:ascii="仿宋_GB2312" w:eastAsia="仿宋_GB2312" w:hAnsi="仿宋" w:cs="仿宋_GB2312"/>
          <w:sz w:val="32"/>
          <w:szCs w:val="32"/>
        </w:rPr>
        <w:t>分</w:t>
      </w:r>
      <w:r>
        <w:rPr>
          <w:rFonts w:ascii="仿宋_GB2312" w:eastAsia="仿宋_GB2312" w:hAnsi="仿宋" w:cs="仿宋_GB2312" w:hint="eastAsia"/>
          <w:sz w:val="32"/>
          <w:szCs w:val="32"/>
        </w:rPr>
        <w:t>，</w:t>
      </w:r>
      <w:r>
        <w:rPr>
          <w:rFonts w:ascii="仿宋_GB2312" w:eastAsia="仿宋_GB2312" w:hAnsi="仿宋" w:cs="仿宋_GB2312"/>
          <w:sz w:val="32"/>
          <w:szCs w:val="32"/>
        </w:rPr>
        <w:t>综合评价等级为</w:t>
      </w:r>
      <w:r>
        <w:rPr>
          <w:rFonts w:ascii="仿宋_GB2312" w:eastAsia="仿宋_GB2312" w:hAnsi="仿宋" w:cs="仿宋_GB2312"/>
          <w:sz w:val="32"/>
          <w:szCs w:val="32"/>
        </w:rPr>
        <w:t>“</w:t>
      </w:r>
      <w:r>
        <w:rPr>
          <w:rFonts w:ascii="仿宋_GB2312" w:eastAsia="仿宋_GB2312" w:hAnsi="仿宋" w:cs="仿宋_GB2312"/>
          <w:sz w:val="32"/>
          <w:szCs w:val="32"/>
        </w:rPr>
        <w:t>优</w:t>
      </w:r>
      <w:r>
        <w:rPr>
          <w:rFonts w:ascii="仿宋_GB2312" w:eastAsia="仿宋_GB2312" w:hAnsi="仿宋" w:cs="仿宋_GB2312"/>
          <w:sz w:val="32"/>
          <w:szCs w:val="32"/>
        </w:rPr>
        <w:t>”</w:t>
      </w:r>
      <w:r>
        <w:rPr>
          <w:rFonts w:ascii="仿宋_GB2312" w:eastAsia="仿宋_GB2312" w:hAnsi="仿宋" w:cs="仿宋_GB2312" w:hint="eastAsia"/>
          <w:sz w:val="32"/>
          <w:szCs w:val="32"/>
        </w:rPr>
        <w:t>。其中，</w:t>
      </w:r>
      <w:r>
        <w:rPr>
          <w:rFonts w:ascii="仿宋_GB2312" w:eastAsia="仿宋_GB2312" w:hAnsi="仿宋" w:cs="仿宋_GB2312"/>
          <w:sz w:val="32"/>
          <w:szCs w:val="32"/>
        </w:rPr>
        <w:t>当年预算执行情况1</w:t>
      </w:r>
      <w:r w:rsidR="00705C30">
        <w:rPr>
          <w:rFonts w:ascii="仿宋_GB2312" w:eastAsia="仿宋_GB2312" w:hAnsi="仿宋" w:cs="仿宋_GB2312" w:hint="eastAsia"/>
          <w:sz w:val="32"/>
          <w:szCs w:val="32"/>
        </w:rPr>
        <w:t>7</w:t>
      </w:r>
      <w:r>
        <w:rPr>
          <w:rFonts w:ascii="仿宋_GB2312" w:eastAsia="仿宋_GB2312" w:hAnsi="仿宋" w:cs="仿宋_GB2312"/>
          <w:sz w:val="32"/>
          <w:szCs w:val="32"/>
        </w:rPr>
        <w:t>.84</w:t>
      </w:r>
      <w:r>
        <w:rPr>
          <w:rFonts w:ascii="仿宋_GB2312" w:eastAsia="仿宋_GB2312" w:hAnsi="仿宋" w:cs="仿宋_GB2312" w:hint="eastAsia"/>
          <w:sz w:val="32"/>
          <w:szCs w:val="32"/>
        </w:rPr>
        <w:t>分、</w:t>
      </w:r>
      <w:r>
        <w:rPr>
          <w:rFonts w:ascii="仿宋_GB2312" w:eastAsia="仿宋_GB2312" w:hAnsi="仿宋" w:cs="仿宋_GB2312"/>
          <w:sz w:val="32"/>
          <w:szCs w:val="32"/>
        </w:rPr>
        <w:t>整体绩效目标实现情况</w:t>
      </w:r>
      <w:r>
        <w:rPr>
          <w:rFonts w:ascii="仿宋_GB2312" w:eastAsia="仿宋_GB2312" w:hAnsi="仿宋" w:cs="仿宋_GB2312" w:hint="eastAsia"/>
          <w:sz w:val="32"/>
          <w:szCs w:val="32"/>
        </w:rPr>
        <w:t>5</w:t>
      </w:r>
      <w:r>
        <w:rPr>
          <w:rFonts w:ascii="仿宋_GB2312" w:eastAsia="仿宋_GB2312" w:hAnsi="仿宋" w:cs="仿宋_GB2312"/>
          <w:sz w:val="32"/>
          <w:szCs w:val="32"/>
        </w:rPr>
        <w:t>7</w:t>
      </w:r>
      <w:r>
        <w:rPr>
          <w:rFonts w:ascii="仿宋_GB2312" w:eastAsia="仿宋_GB2312" w:hAnsi="仿宋" w:cs="仿宋_GB2312" w:hint="eastAsia"/>
          <w:sz w:val="32"/>
          <w:szCs w:val="32"/>
        </w:rPr>
        <w:t>分、</w:t>
      </w:r>
      <w:r>
        <w:rPr>
          <w:rFonts w:ascii="仿宋_GB2312" w:eastAsia="仿宋_GB2312" w:hAnsi="仿宋" w:cs="仿宋_GB2312"/>
          <w:sz w:val="32"/>
          <w:szCs w:val="32"/>
        </w:rPr>
        <w:t>预算管理情况1</w:t>
      </w:r>
      <w:r w:rsidR="00705C30">
        <w:rPr>
          <w:rFonts w:ascii="仿宋_GB2312" w:eastAsia="仿宋_GB2312" w:hAnsi="仿宋" w:cs="仿宋_GB2312" w:hint="eastAsia"/>
          <w:sz w:val="32"/>
          <w:szCs w:val="32"/>
        </w:rPr>
        <w:t>8</w:t>
      </w:r>
      <w:r w:rsidR="00B92CC2">
        <w:rPr>
          <w:rFonts w:ascii="仿宋_GB2312" w:eastAsia="仿宋_GB2312" w:hAnsi="仿宋" w:cs="仿宋_GB2312" w:hint="eastAsia"/>
          <w:sz w:val="32"/>
          <w:szCs w:val="32"/>
        </w:rPr>
        <w:t>.2</w:t>
      </w:r>
      <w:r>
        <w:rPr>
          <w:rFonts w:ascii="仿宋_GB2312" w:eastAsia="仿宋_GB2312" w:hAnsi="仿宋" w:cs="仿宋_GB2312" w:hint="eastAsia"/>
          <w:sz w:val="32"/>
          <w:szCs w:val="32"/>
        </w:rPr>
        <w:t>分。</w:t>
      </w:r>
    </w:p>
    <w:p w:rsidR="00C40C26" w:rsidRDefault="00FC18C4">
      <w:pPr>
        <w:spacing w:line="360" w:lineRule="auto"/>
        <w:ind w:leftChars="50" w:left="105" w:firstLineChars="150" w:firstLine="480"/>
        <w:rPr>
          <w:rFonts w:ascii="楷体_GB2312" w:eastAsia="楷体_GB2312"/>
          <w:sz w:val="32"/>
          <w:szCs w:val="32"/>
        </w:rPr>
      </w:pPr>
      <w:r>
        <w:rPr>
          <w:rFonts w:ascii="楷体_GB2312" w:eastAsia="楷体_GB2312" w:hint="eastAsia"/>
          <w:sz w:val="32"/>
          <w:szCs w:val="32"/>
        </w:rPr>
        <w:t>（二）存在的问题及原因分析</w:t>
      </w:r>
    </w:p>
    <w:p w:rsidR="00C40C26" w:rsidRDefault="00FC18C4">
      <w:pPr>
        <w:spacing w:line="360" w:lineRule="auto"/>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1.预算执行率偏低。中心2023年年初上报预算数</w:t>
      </w:r>
      <w:r>
        <w:rPr>
          <w:rFonts w:ascii="仿宋_GB2312" w:eastAsia="仿宋_GB2312" w:hAnsi="仿宋" w:cs="仿宋_GB2312"/>
          <w:sz w:val="32"/>
          <w:szCs w:val="32"/>
        </w:rPr>
        <w:t>300,317.18</w:t>
      </w:r>
      <w:r>
        <w:rPr>
          <w:rFonts w:ascii="仿宋_GB2312" w:eastAsia="仿宋_GB2312" w:hAnsi="仿宋" w:cs="仿宋_GB2312" w:hint="eastAsia"/>
          <w:sz w:val="32"/>
          <w:szCs w:val="32"/>
        </w:rPr>
        <w:t>万元，预算调整增加了</w:t>
      </w:r>
      <w:r>
        <w:rPr>
          <w:rFonts w:ascii="仿宋_GB2312" w:eastAsia="仿宋_GB2312" w:hAnsi="仿宋" w:cs="仿宋_GB2312"/>
          <w:sz w:val="32"/>
          <w:szCs w:val="32"/>
        </w:rPr>
        <w:t>40,724.35</w:t>
      </w:r>
      <w:r>
        <w:rPr>
          <w:rFonts w:ascii="仿宋_GB2312" w:eastAsia="仿宋_GB2312" w:hAnsi="仿宋" w:cs="仿宋_GB2312" w:hint="eastAsia"/>
          <w:sz w:val="32"/>
          <w:szCs w:val="32"/>
        </w:rPr>
        <w:t>万元，决算数为</w:t>
      </w:r>
      <w:r>
        <w:rPr>
          <w:rFonts w:ascii="仿宋_GB2312" w:eastAsia="仿宋_GB2312" w:hAnsi="仿宋" w:cs="仿宋_GB2312"/>
          <w:sz w:val="32"/>
          <w:szCs w:val="32"/>
        </w:rPr>
        <w:t>305,575.37</w:t>
      </w:r>
      <w:r>
        <w:rPr>
          <w:rFonts w:ascii="仿宋_GB2312" w:eastAsia="仿宋_GB2312" w:hAnsi="仿宋" w:cs="仿宋_GB2312" w:hint="eastAsia"/>
          <w:sz w:val="32"/>
          <w:szCs w:val="32"/>
        </w:rPr>
        <w:t>万元，执行率低于90%，反应部门预算编制不够科学精准、</w:t>
      </w:r>
      <w:r w:rsidR="00E07256">
        <w:rPr>
          <w:rFonts w:ascii="仿宋_GB2312" w:eastAsia="仿宋_GB2312" w:hAnsi="仿宋" w:cs="仿宋_GB2312" w:hint="eastAsia"/>
          <w:sz w:val="32"/>
          <w:szCs w:val="32"/>
        </w:rPr>
        <w:t>预算细化程度不足，支出进度过慢，</w:t>
      </w:r>
      <w:r>
        <w:rPr>
          <w:rFonts w:ascii="仿宋_GB2312" w:eastAsia="仿宋_GB2312" w:hAnsi="仿宋" w:cs="仿宋_GB2312" w:hint="eastAsia"/>
          <w:sz w:val="32"/>
          <w:szCs w:val="32"/>
        </w:rPr>
        <w:t>导致</w:t>
      </w:r>
      <w:r w:rsidR="00E07256">
        <w:rPr>
          <w:rFonts w:ascii="仿宋_GB2312" w:eastAsia="仿宋_GB2312" w:hAnsi="仿宋" w:cs="仿宋_GB2312" w:hint="eastAsia"/>
          <w:sz w:val="32"/>
          <w:szCs w:val="32"/>
        </w:rPr>
        <w:t>资金</w:t>
      </w:r>
      <w:r>
        <w:rPr>
          <w:rFonts w:ascii="仿宋_GB2312" w:eastAsia="仿宋_GB2312" w:hAnsi="仿宋" w:cs="仿宋_GB2312" w:hint="eastAsia"/>
          <w:sz w:val="32"/>
          <w:szCs w:val="32"/>
        </w:rPr>
        <w:t>使用效益偏低。</w:t>
      </w:r>
    </w:p>
    <w:p w:rsidR="00C40C26" w:rsidRDefault="00FC18C4">
      <w:pPr>
        <w:spacing w:line="360" w:lineRule="auto"/>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lastRenderedPageBreak/>
        <w:t>2</w:t>
      </w:r>
      <w:r>
        <w:rPr>
          <w:rFonts w:ascii="仿宋_GB2312" w:eastAsia="仿宋_GB2312" w:hAnsi="仿宋" w:cs="仿宋_GB2312"/>
          <w:sz w:val="32"/>
          <w:szCs w:val="32"/>
        </w:rPr>
        <w:t>.</w:t>
      </w:r>
      <w:r>
        <w:rPr>
          <w:rFonts w:ascii="仿宋_GB2312" w:eastAsia="仿宋_GB2312" w:hAnsi="仿宋" w:cs="仿宋_GB2312" w:hint="eastAsia"/>
          <w:sz w:val="32"/>
          <w:szCs w:val="32"/>
        </w:rPr>
        <w:t>部分项目效益效果展现不足。未从多角度对项目前后经济效益、社会效益或者可持续影响进行对比分析，仅以部分照片作为取得效益的支撑材料，客观性和系统性不足，对实际效果的证明支撑作用不够明确。</w:t>
      </w:r>
    </w:p>
    <w:p w:rsidR="00C40C26" w:rsidRDefault="00FC18C4">
      <w:pPr>
        <w:spacing w:line="360" w:lineRule="auto"/>
        <w:ind w:firstLineChars="200" w:firstLine="640"/>
        <w:rPr>
          <w:rFonts w:ascii="仿宋_GB2312" w:eastAsia="仿宋_GB2312" w:hAnsi="宋体" w:cs="宋体"/>
          <w:color w:val="000000"/>
          <w:kern w:val="0"/>
          <w:sz w:val="32"/>
          <w:szCs w:val="32"/>
        </w:rPr>
      </w:pPr>
      <w:r>
        <w:rPr>
          <w:rFonts w:ascii="黑体" w:eastAsia="黑体" w:hAnsi="黑体" w:cs="宋体" w:hint="eastAsia"/>
          <w:color w:val="000000"/>
          <w:kern w:val="0"/>
          <w:sz w:val="32"/>
          <w:szCs w:val="32"/>
        </w:rPr>
        <w:t>六、措施建议</w:t>
      </w:r>
    </w:p>
    <w:p w:rsidR="00C40C26" w:rsidRDefault="00FC18C4">
      <w:pPr>
        <w:spacing w:line="360" w:lineRule="auto"/>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中心对自评中发现的问题高度重视，拟采取以下措施加以改进：</w:t>
      </w:r>
    </w:p>
    <w:p w:rsidR="00C40C26" w:rsidRDefault="00FC18C4">
      <w:pPr>
        <w:spacing w:line="360" w:lineRule="auto"/>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一）牢固树立“分配与管理并重、投入与绩效并重”的理念，科学合理编制预算，提高部门预算质量，同时完善预算管理考核机制，提高资金使用效益。要建立健全以财政和预算部门为主体，符合实际的财政支出绩效评价管理机制，加强监督，强化预算约束，建立动态监控管理，增强预算执行监管，加强对财政支出绩效评价结果的应用，最大限度地提高资金使用效益。</w:t>
      </w:r>
    </w:p>
    <w:p w:rsidR="00C40C26" w:rsidRDefault="00FC18C4">
      <w:pPr>
        <w:spacing w:line="360" w:lineRule="auto"/>
        <w:ind w:leftChars="50" w:left="105" w:firstLineChars="150" w:firstLine="480"/>
      </w:pPr>
      <w:r>
        <w:rPr>
          <w:rFonts w:ascii="仿宋_GB2312" w:eastAsia="仿宋_GB2312" w:hAnsi="宋体" w:cs="宋体" w:hint="eastAsia"/>
          <w:color w:val="000000"/>
          <w:kern w:val="0"/>
          <w:sz w:val="32"/>
          <w:szCs w:val="32"/>
        </w:rPr>
        <w:t>（二）提升项目执行过程中管理精细化水平，增强效益指标的对比分析，完善项目经济效益达成情况的资料的收集与归档，明确数据支撑和管理措施支撑，对标完成情况表、预算执行情况表，并结合项目执行特点，对受益对象收集反馈信息，提升资金投入的效益水平。</w:t>
      </w:r>
    </w:p>
    <w:sectPr w:rsidR="00C40C26" w:rsidSect="00AB2EF8">
      <w:footerReference w:type="default" r:id="rId7"/>
      <w:pgSz w:w="11906" w:h="16838"/>
      <w:pgMar w:top="1440" w:right="1797" w:bottom="1440" w:left="1797"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45C7" w:rsidRDefault="00C645C7">
      <w:r>
        <w:separator/>
      </w:r>
    </w:p>
  </w:endnote>
  <w:endnote w:type="continuationSeparator" w:id="1">
    <w:p w:rsidR="00C645C7" w:rsidRDefault="00C645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0C26" w:rsidRDefault="00C07A1B">
    <w:pPr>
      <w:pStyle w:val="a4"/>
      <w:jc w:val="center"/>
    </w:pPr>
    <w:r>
      <w:fldChar w:fldCharType="begin"/>
    </w:r>
    <w:r w:rsidR="00FC18C4">
      <w:instrText>PAGE   \* MERGEFORMAT</w:instrText>
    </w:r>
    <w:r>
      <w:fldChar w:fldCharType="separate"/>
    </w:r>
    <w:r w:rsidR="0024649D" w:rsidRPr="0024649D">
      <w:rPr>
        <w:noProof/>
        <w:lang w:val="zh-CN"/>
      </w:rPr>
      <w:t>4</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45C7" w:rsidRDefault="00C645C7">
      <w:r>
        <w:separator/>
      </w:r>
    </w:p>
  </w:footnote>
  <w:footnote w:type="continuationSeparator" w:id="1">
    <w:p w:rsidR="00C645C7" w:rsidRDefault="00C645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A66799"/>
    <w:multiLevelType w:val="multilevel"/>
    <w:tmpl w:val="35A66799"/>
    <w:lvl w:ilvl="0">
      <w:start w:val="1"/>
      <w:numFmt w:val="decimal"/>
      <w:suff w:val="nothing"/>
      <w:lvlText w:val="（%1）"/>
      <w:lvlJc w:val="left"/>
      <w:pPr>
        <w:ind w:left="1060" w:hanging="4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characterSpacingControl w:val="doNotCompress"/>
  <w:hdrShapeDefaults>
    <o:shapedefaults v:ext="edit" spidmax="8194"/>
  </w:hdrShapeDefaults>
  <w:footnotePr>
    <w:footnote w:id="0"/>
    <w:footnote w:id="1"/>
  </w:footnotePr>
  <w:endnotePr>
    <w:endnote w:id="0"/>
    <w:endnote w:id="1"/>
  </w:endnotePr>
  <w:compat>
    <w:useFELayout/>
  </w:compat>
  <w:docVars>
    <w:docVar w:name="commondata" w:val="eyJoZGlkIjoiOTQ3YjE2YmMxOWQwM2M3MjczOTc0NjBhOTAyZTBiOTAifQ=="/>
  </w:docVars>
  <w:rsids>
    <w:rsidRoot w:val="00214625"/>
    <w:rsid w:val="00030F23"/>
    <w:rsid w:val="000740BA"/>
    <w:rsid w:val="000C2FF1"/>
    <w:rsid w:val="000D4F69"/>
    <w:rsid w:val="000F36B8"/>
    <w:rsid w:val="00132E85"/>
    <w:rsid w:val="001543BD"/>
    <w:rsid w:val="001B4FBC"/>
    <w:rsid w:val="001F1F94"/>
    <w:rsid w:val="001F2BEA"/>
    <w:rsid w:val="00214625"/>
    <w:rsid w:val="002158E7"/>
    <w:rsid w:val="002203CF"/>
    <w:rsid w:val="0024649D"/>
    <w:rsid w:val="002B0F6A"/>
    <w:rsid w:val="002D67CB"/>
    <w:rsid w:val="002E6037"/>
    <w:rsid w:val="00387461"/>
    <w:rsid w:val="00404BA2"/>
    <w:rsid w:val="00465DE6"/>
    <w:rsid w:val="004672CE"/>
    <w:rsid w:val="004673D3"/>
    <w:rsid w:val="004903D0"/>
    <w:rsid w:val="004A360E"/>
    <w:rsid w:val="004D1BAE"/>
    <w:rsid w:val="004E5574"/>
    <w:rsid w:val="004F2E2D"/>
    <w:rsid w:val="005115EA"/>
    <w:rsid w:val="00536481"/>
    <w:rsid w:val="00557568"/>
    <w:rsid w:val="00570E17"/>
    <w:rsid w:val="00572207"/>
    <w:rsid w:val="005937B3"/>
    <w:rsid w:val="00597FBA"/>
    <w:rsid w:val="005E6806"/>
    <w:rsid w:val="005F5CD0"/>
    <w:rsid w:val="00602598"/>
    <w:rsid w:val="006152B1"/>
    <w:rsid w:val="0064242A"/>
    <w:rsid w:val="00652503"/>
    <w:rsid w:val="00690FCA"/>
    <w:rsid w:val="00705C30"/>
    <w:rsid w:val="0073380B"/>
    <w:rsid w:val="00752595"/>
    <w:rsid w:val="00790834"/>
    <w:rsid w:val="00812486"/>
    <w:rsid w:val="00841CB5"/>
    <w:rsid w:val="00866619"/>
    <w:rsid w:val="008A0AB7"/>
    <w:rsid w:val="009622E8"/>
    <w:rsid w:val="00962DA0"/>
    <w:rsid w:val="009F1273"/>
    <w:rsid w:val="00A1525C"/>
    <w:rsid w:val="00AA1A15"/>
    <w:rsid w:val="00AA43B5"/>
    <w:rsid w:val="00AB2EF8"/>
    <w:rsid w:val="00B92CC2"/>
    <w:rsid w:val="00B95499"/>
    <w:rsid w:val="00BE291B"/>
    <w:rsid w:val="00BE7957"/>
    <w:rsid w:val="00C07A1B"/>
    <w:rsid w:val="00C3561E"/>
    <w:rsid w:val="00C365D7"/>
    <w:rsid w:val="00C40C26"/>
    <w:rsid w:val="00C645C7"/>
    <w:rsid w:val="00CD7729"/>
    <w:rsid w:val="00CF7487"/>
    <w:rsid w:val="00D97C35"/>
    <w:rsid w:val="00DA505A"/>
    <w:rsid w:val="00E07256"/>
    <w:rsid w:val="00E1577B"/>
    <w:rsid w:val="00E428D5"/>
    <w:rsid w:val="00ED4D4C"/>
    <w:rsid w:val="00F15DED"/>
    <w:rsid w:val="00F25470"/>
    <w:rsid w:val="00FB00BB"/>
    <w:rsid w:val="00FC18C4"/>
    <w:rsid w:val="149D5F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AB2EF8"/>
    <w:pPr>
      <w:widowControl w:val="0"/>
      <w:jc w:val="both"/>
    </w:pPr>
    <w:rPr>
      <w:rFonts w:ascii="Times New Roman" w:eastAsia="宋体" w:hAnsi="Times New Roman" w:cs="Times New Roman"/>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rsid w:val="00AB2EF8"/>
    <w:pPr>
      <w:ind w:firstLineChars="200" w:firstLine="200"/>
    </w:pPr>
  </w:style>
  <w:style w:type="paragraph" w:styleId="a4">
    <w:name w:val="footer"/>
    <w:basedOn w:val="a"/>
    <w:link w:val="Char"/>
    <w:uiPriority w:val="99"/>
    <w:unhideWhenUsed/>
    <w:qFormat/>
    <w:rsid w:val="00AB2EF8"/>
    <w:pPr>
      <w:tabs>
        <w:tab w:val="center" w:pos="4153"/>
        <w:tab w:val="right" w:pos="8306"/>
      </w:tabs>
      <w:snapToGrid w:val="0"/>
      <w:jc w:val="left"/>
    </w:pPr>
    <w:rPr>
      <w:sz w:val="18"/>
      <w:szCs w:val="18"/>
    </w:rPr>
  </w:style>
  <w:style w:type="paragraph" w:styleId="a5">
    <w:name w:val="header"/>
    <w:basedOn w:val="a"/>
    <w:link w:val="Char0"/>
    <w:uiPriority w:val="99"/>
    <w:unhideWhenUsed/>
    <w:rsid w:val="00AB2EF8"/>
    <w:pPr>
      <w:tabs>
        <w:tab w:val="center" w:pos="4153"/>
        <w:tab w:val="right" w:pos="8306"/>
      </w:tabs>
      <w:snapToGrid w:val="0"/>
      <w:jc w:val="center"/>
    </w:pPr>
    <w:rPr>
      <w:sz w:val="18"/>
      <w:szCs w:val="18"/>
    </w:rPr>
  </w:style>
  <w:style w:type="character" w:customStyle="1" w:styleId="Char">
    <w:name w:val="页脚 Char"/>
    <w:basedOn w:val="a1"/>
    <w:link w:val="a4"/>
    <w:uiPriority w:val="99"/>
    <w:qFormat/>
    <w:rsid w:val="00AB2EF8"/>
    <w:rPr>
      <w:rFonts w:ascii="Times New Roman" w:eastAsia="宋体" w:hAnsi="Times New Roman" w:cs="Times New Roman"/>
      <w:sz w:val="18"/>
      <w:szCs w:val="18"/>
    </w:rPr>
  </w:style>
  <w:style w:type="paragraph" w:styleId="a6">
    <w:name w:val="List Paragraph"/>
    <w:basedOn w:val="a"/>
    <w:autoRedefine/>
    <w:uiPriority w:val="99"/>
    <w:qFormat/>
    <w:rsid w:val="00AB2EF8"/>
    <w:pPr>
      <w:ind w:firstLineChars="200" w:firstLine="420"/>
    </w:pPr>
  </w:style>
  <w:style w:type="paragraph" w:customStyle="1" w:styleId="1">
    <w:name w:val="修订1"/>
    <w:hidden/>
    <w:uiPriority w:val="99"/>
    <w:semiHidden/>
    <w:rsid w:val="00AB2EF8"/>
    <w:rPr>
      <w:rFonts w:ascii="Times New Roman" w:eastAsia="宋体" w:hAnsi="Times New Roman" w:cs="Times New Roman"/>
      <w:kern w:val="2"/>
      <w:sz w:val="21"/>
      <w:szCs w:val="24"/>
    </w:rPr>
  </w:style>
  <w:style w:type="character" w:customStyle="1" w:styleId="Char0">
    <w:name w:val="页眉 Char"/>
    <w:basedOn w:val="a1"/>
    <w:link w:val="a5"/>
    <w:uiPriority w:val="99"/>
    <w:rsid w:val="00AB2EF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1283</Words>
  <Characters>7317</Characters>
  <Application>Microsoft Office Word</Application>
  <DocSecurity>0</DocSecurity>
  <Lines>60</Lines>
  <Paragraphs>17</Paragraphs>
  <ScaleCrop>false</ScaleCrop>
  <Company/>
  <LinksUpToDate>false</LinksUpToDate>
  <CharactersWithSpaces>8583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王煊彤</dc:creator>
  <cp:lastModifiedBy>a</cp:lastModifiedBy>
  <cp:revision>2</cp:revision>
  <dcterms:created xsi:type="dcterms:W3CDTF">2024-08-16T00:40:00Z</dcterms:created>
  <dcterms:modified xsi:type="dcterms:W3CDTF">2024-08-16T00:40:00Z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75620B018B1A4CF98D76AD37288EAF3E_13</vt:lpwstr>
  </property>
</Properties>
</file>